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2D3F" w:rsidRDefault="00674586" w:rsidP="00416BCC">
      <w:pPr>
        <w:spacing w:line="480" w:lineRule="auto"/>
        <w:ind w:right="240"/>
        <w:jc w:val="center"/>
        <w:rPr>
          <w:smallCaps/>
        </w:rPr>
      </w:pPr>
      <w:r w:rsidRPr="0066567F">
        <w:rPr>
          <w:smallCaps/>
        </w:rPr>
        <w:t xml:space="preserve">Analyses of </w:t>
      </w:r>
      <w:r w:rsidR="006E2D3F">
        <w:rPr>
          <w:smallCaps/>
        </w:rPr>
        <w:t xml:space="preserve">Dimensional Variations in </w:t>
      </w:r>
      <w:proofErr w:type="spellStart"/>
      <w:r w:rsidR="006E2D3F">
        <w:rPr>
          <w:smallCaps/>
        </w:rPr>
        <w:t>Meidum</w:t>
      </w:r>
      <w:proofErr w:type="spellEnd"/>
      <w:r w:rsidR="006E2D3F">
        <w:rPr>
          <w:smallCaps/>
        </w:rPr>
        <w:t xml:space="preserve"> Bowls from </w:t>
      </w:r>
    </w:p>
    <w:p w:rsidR="00A96E62" w:rsidRPr="0066567F" w:rsidRDefault="006E2D3F" w:rsidP="00416BCC">
      <w:pPr>
        <w:spacing w:line="480" w:lineRule="auto"/>
        <w:ind w:right="240"/>
        <w:jc w:val="center"/>
        <w:rPr>
          <w:smallCaps/>
        </w:rPr>
      </w:pPr>
      <w:proofErr w:type="spellStart"/>
      <w:r>
        <w:rPr>
          <w:smallCaps/>
        </w:rPr>
        <w:t>Kom</w:t>
      </w:r>
      <w:proofErr w:type="spellEnd"/>
      <w:r>
        <w:rPr>
          <w:smallCaps/>
        </w:rPr>
        <w:t xml:space="preserve"> el-</w:t>
      </w:r>
      <w:proofErr w:type="spellStart"/>
      <w:r>
        <w:rPr>
          <w:smallCaps/>
        </w:rPr>
        <w:t>Hisn</w:t>
      </w:r>
      <w:proofErr w:type="spellEnd"/>
      <w:r>
        <w:rPr>
          <w:smallCaps/>
        </w:rPr>
        <w:t xml:space="preserve"> and other sites </w:t>
      </w:r>
    </w:p>
    <w:p w:rsidR="00A96E62" w:rsidRPr="0066567F" w:rsidRDefault="00A96E62" w:rsidP="000A4E40">
      <w:pPr>
        <w:pStyle w:val="NoSpacing"/>
        <w:jc w:val="center"/>
      </w:pPr>
      <w:r w:rsidRPr="0066567F">
        <w:t>Sarah L. Sterling</w:t>
      </w:r>
    </w:p>
    <w:p w:rsidR="00F42A71" w:rsidRPr="0066567F" w:rsidRDefault="00F42A71" w:rsidP="000A4E40">
      <w:pPr>
        <w:pStyle w:val="NoSpacing"/>
        <w:jc w:val="center"/>
      </w:pPr>
      <w:r w:rsidRPr="0066567F">
        <w:t>Portland State University</w:t>
      </w:r>
    </w:p>
    <w:p w:rsidR="00A96E62" w:rsidRPr="0066567F" w:rsidRDefault="00A96E62" w:rsidP="00416BCC">
      <w:pPr>
        <w:spacing w:line="480" w:lineRule="auto"/>
        <w:ind w:right="240"/>
        <w:jc w:val="center"/>
      </w:pPr>
    </w:p>
    <w:p w:rsidR="00A96E62" w:rsidRPr="0066567F" w:rsidRDefault="00A96E62" w:rsidP="006706B4">
      <w:pPr>
        <w:pStyle w:val="Body"/>
        <w:tabs>
          <w:tab w:val="clear" w:pos="3140"/>
        </w:tabs>
        <w:spacing w:before="0"/>
        <w:ind w:right="240"/>
      </w:pPr>
      <w:r w:rsidRPr="0066567F">
        <w:t xml:space="preserve">Ancient civilizations can be characterized as consisting of participant communities that are either more or less dependent on redistribution of goods and foodstuffs controlled by the ruling elite.  Some communities (e.g. administrative centers) are highly dependent on centralized, redistributed economic resources, while some are more self-sufficient.  Self-sufficiency is a function of the relative abundance of environmental resources in close proximity to a given community.  While more traditional assessments of Egypt’s economy (e.g. Baines and </w:t>
      </w:r>
      <w:proofErr w:type="spellStart"/>
      <w:r w:rsidRPr="0066567F">
        <w:t>Yoffee</w:t>
      </w:r>
      <w:proofErr w:type="spellEnd"/>
      <w:r w:rsidRPr="0066567F">
        <w:t xml:space="preserve"> 1999:220) have characterized it as being highly “centralized;” wherein all communities are equally dependent on the government redistributive system, and, wherein all communities were equivalently under the control of the ruling elite, th</w:t>
      </w:r>
      <w:r w:rsidR="00885AD2">
        <w:t>is characterization</w:t>
      </w:r>
      <w:r w:rsidRPr="0066567F">
        <w:t xml:space="preserve"> remains an hypothesis to be tested.  </w:t>
      </w:r>
    </w:p>
    <w:p w:rsidR="00A96E62" w:rsidRPr="0066567F" w:rsidRDefault="00A96E62" w:rsidP="00D32962">
      <w:pPr>
        <w:pStyle w:val="Body"/>
        <w:tabs>
          <w:tab w:val="clear" w:pos="3140"/>
        </w:tabs>
        <w:spacing w:before="0"/>
        <w:ind w:right="240"/>
      </w:pPr>
      <w:r w:rsidRPr="0066567F">
        <w:t xml:space="preserve">This study uses variation in ceramic attributes to illustrate the relationship between </w:t>
      </w:r>
      <w:proofErr w:type="spellStart"/>
      <w:r w:rsidRPr="0066567F">
        <w:t>Kom</w:t>
      </w:r>
      <w:proofErr w:type="spellEnd"/>
      <w:r w:rsidRPr="0066567F">
        <w:t xml:space="preserve"> el-</w:t>
      </w:r>
      <w:proofErr w:type="spellStart"/>
      <w:r w:rsidRPr="0066567F">
        <w:t>Hisn</w:t>
      </w:r>
      <w:proofErr w:type="spellEnd"/>
      <w:r w:rsidRPr="0066567F">
        <w:t xml:space="preserve"> and the larger Egyptian state</w:t>
      </w:r>
      <w:r w:rsidR="00885AD2">
        <w:t xml:space="preserve"> as a means of testing ideas about centrality, as reflected in the existence of centralized infrastructure</w:t>
      </w:r>
      <w:r w:rsidRPr="0066567F">
        <w:t>. Economic integration can be assessed to some extent through the measurement of ceramic vessel attributes, because in the absence of “national” scale factors integrating the economy, similarity in vessel manufacture should track spatial proximity between communities, such that the closer one assemblage is to another in space, the similar they should be (</w:t>
      </w:r>
      <w:proofErr w:type="spellStart"/>
      <w:r w:rsidRPr="0066567F">
        <w:rPr>
          <w:i/>
          <w:iCs/>
        </w:rPr>
        <w:t>sensu</w:t>
      </w:r>
      <w:proofErr w:type="spellEnd"/>
      <w:r w:rsidRPr="0066567F">
        <w:rPr>
          <w:i/>
          <w:iCs/>
        </w:rPr>
        <w:t xml:space="preserve"> </w:t>
      </w:r>
      <w:r w:rsidRPr="0066567F">
        <w:t>Boas 1896</w:t>
      </w:r>
      <w:r w:rsidR="00F12EDC" w:rsidRPr="0066567F">
        <w:t>:</w:t>
      </w:r>
      <w:r w:rsidR="004F14B3">
        <w:t>3-</w:t>
      </w:r>
      <w:r w:rsidRPr="0066567F">
        <w:t xml:space="preserve">4, cited in </w:t>
      </w:r>
      <w:proofErr w:type="spellStart"/>
      <w:r w:rsidRPr="0066567F">
        <w:t>Eerkens</w:t>
      </w:r>
      <w:proofErr w:type="spellEnd"/>
      <w:r w:rsidRPr="0066567F">
        <w:rPr>
          <w:smallCaps/>
        </w:rPr>
        <w:t xml:space="preserve"> </w:t>
      </w:r>
      <w:r w:rsidRPr="0066567F">
        <w:t xml:space="preserve">and </w:t>
      </w:r>
      <w:proofErr w:type="spellStart"/>
      <w:r w:rsidRPr="0066567F">
        <w:t>Lipo</w:t>
      </w:r>
      <w:proofErr w:type="spellEnd"/>
      <w:r w:rsidRPr="0066567F">
        <w:t xml:space="preserve"> 2007</w:t>
      </w:r>
      <w:r w:rsidR="00F12EDC" w:rsidRPr="0066567F">
        <w:t>:</w:t>
      </w:r>
      <w:r w:rsidRPr="0066567F">
        <w:t xml:space="preserve">241).  If assemblages vastly separated in space exhibit a relatively high degree of similarity, then the case can be made for socio-economic factors integrating communities at a national scale.  By </w:t>
      </w:r>
      <w:r w:rsidRPr="0066567F">
        <w:lastRenderedPageBreak/>
        <w:t xml:space="preserve">extension, ceramic attributes can identify those communities that are less integrated into a national economy than others. </w:t>
      </w:r>
    </w:p>
    <w:p w:rsidR="00A96E62" w:rsidRPr="0066567F" w:rsidRDefault="00A96E62" w:rsidP="0056785C">
      <w:pPr>
        <w:pStyle w:val="Body"/>
        <w:tabs>
          <w:tab w:val="clear" w:pos="3140"/>
        </w:tabs>
        <w:spacing w:before="0"/>
        <w:ind w:right="240"/>
      </w:pPr>
      <w:r w:rsidRPr="0066567F">
        <w:t>Ceramic similarity reflects elements of centralization because in some instances, hi</w:t>
      </w:r>
      <w:r w:rsidR="00FE72B2">
        <w:t>ghly similar ceramics are mass-</w:t>
      </w:r>
      <w:r w:rsidRPr="0066567F">
        <w:t xml:space="preserve">produced at a central or limited set of locations, presumably controlled by the state or some equivalent centralizing entity. Assemblages of Old Kingdom ceramics have a tendency to fall into a restricted series of forms that are common to most collections, regardless of location (e.g. Arnold and </w:t>
      </w:r>
      <w:proofErr w:type="spellStart"/>
      <w:r w:rsidRPr="0066567F">
        <w:t>Bourriau</w:t>
      </w:r>
      <w:proofErr w:type="spellEnd"/>
      <w:r w:rsidRPr="0066567F">
        <w:t xml:space="preserve"> 1993;</w:t>
      </w:r>
      <w:r w:rsidRPr="0066567F">
        <w:rPr>
          <w:b/>
        </w:rPr>
        <w:t xml:space="preserve"> </w:t>
      </w:r>
      <w:r w:rsidRPr="0066567F">
        <w:t xml:space="preserve">Ballet 1987, </w:t>
      </w:r>
      <w:r w:rsidRPr="0066567F">
        <w:rPr>
          <w:bCs/>
        </w:rPr>
        <w:t>see Figure 1</w:t>
      </w:r>
      <w:r w:rsidRPr="0066567F">
        <w:t>).  This can be taken as evidence of standardized or even centralized mass production, but close inspection of morphological and material variation in one type of ceramic vessel typical of the Old Kingdom, the “</w:t>
      </w:r>
      <w:proofErr w:type="spellStart"/>
      <w:r w:rsidRPr="0066567F">
        <w:t>Meidum</w:t>
      </w:r>
      <w:proofErr w:type="spellEnd"/>
      <w:r w:rsidRPr="0066567F">
        <w:t xml:space="preserve"> bowl,” (see </w:t>
      </w:r>
      <w:r w:rsidRPr="0066567F">
        <w:rPr>
          <w:bCs/>
        </w:rPr>
        <w:t>Figure 2</w:t>
      </w:r>
      <w:r w:rsidRPr="0066567F">
        <w:t>), presents evidence of attribute variation at a local scale (</w:t>
      </w:r>
      <w:r w:rsidR="00CF11B9">
        <w:t xml:space="preserve">Op de </w:t>
      </w:r>
      <w:proofErr w:type="spellStart"/>
      <w:r w:rsidR="00CF11B9">
        <w:t>Beec</w:t>
      </w:r>
      <w:r w:rsidR="00FE72B2">
        <w:t>k</w:t>
      </w:r>
      <w:proofErr w:type="spellEnd"/>
      <w:r w:rsidR="00FE72B2">
        <w:t xml:space="preserve"> 2004; </w:t>
      </w:r>
      <w:r w:rsidRPr="0066567F">
        <w:t xml:space="preserve">Sterling 2004, 2009).  Such patterns of similarity are indicative of local manufacture, wherein apparently standardized vessel similarities result from shared ideas about making pots, rather than actual centralized production.  </w:t>
      </w:r>
    </w:p>
    <w:p w:rsidR="00F2774F" w:rsidRPr="0066567F" w:rsidRDefault="00954775" w:rsidP="00E57A77">
      <w:pPr>
        <w:pStyle w:val="Body"/>
        <w:tabs>
          <w:tab w:val="clear" w:pos="3140"/>
        </w:tabs>
        <w:spacing w:before="0"/>
        <w:ind w:right="240" w:firstLine="0"/>
      </w:pPr>
      <w:r w:rsidRPr="0066567F">
        <w:rPr>
          <w:noProof/>
          <w:lang w:eastAsia="en-US"/>
        </w:rPr>
        <w:drawing>
          <wp:inline distT="0" distB="0" distL="0" distR="0">
            <wp:extent cx="5943600" cy="3456940"/>
            <wp:effectExtent l="19050" t="0" r="0" b="0"/>
            <wp:docPr id="1" name="Picture 0" descr="Figure 1 ok ceramic assemblag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ok ceramic assemblages.tif"/>
                    <pic:cNvPicPr/>
                  </pic:nvPicPr>
                  <pic:blipFill>
                    <a:blip r:embed="rId8"/>
                    <a:stretch>
                      <a:fillRect/>
                    </a:stretch>
                  </pic:blipFill>
                  <pic:spPr>
                    <a:xfrm>
                      <a:off x="0" y="0"/>
                      <a:ext cx="5943600" cy="3456940"/>
                    </a:xfrm>
                    <a:prstGeom prst="rect">
                      <a:avLst/>
                    </a:prstGeom>
                  </pic:spPr>
                </pic:pic>
              </a:graphicData>
            </a:graphic>
          </wp:inline>
        </w:drawing>
      </w:r>
    </w:p>
    <w:p w:rsidR="00097A4C" w:rsidRPr="0066567F" w:rsidRDefault="00097A4C" w:rsidP="00C62458">
      <w:proofErr w:type="gramStart"/>
      <w:r w:rsidRPr="0066567F">
        <w:rPr>
          <w:b/>
        </w:rPr>
        <w:lastRenderedPageBreak/>
        <w:t>Figure 1.</w:t>
      </w:r>
      <w:proofErr w:type="gramEnd"/>
      <w:r w:rsidRPr="0066567F">
        <w:rPr>
          <w:b/>
        </w:rPr>
        <w:t xml:space="preserve">  </w:t>
      </w:r>
      <w:proofErr w:type="gramStart"/>
      <w:r w:rsidRPr="0066567F">
        <w:t>Sample ceramic assemblages from various locations in Egypt.</w:t>
      </w:r>
      <w:proofErr w:type="gramEnd"/>
      <w:r w:rsidR="00C62458">
        <w:t xml:space="preserve"> The “</w:t>
      </w:r>
      <w:proofErr w:type="spellStart"/>
      <w:r w:rsidR="00C62458">
        <w:t>Meidum</w:t>
      </w:r>
      <w:proofErr w:type="spellEnd"/>
      <w:r w:rsidR="00C62458">
        <w:t xml:space="preserve"> Bowl” is offset in a square. </w:t>
      </w:r>
    </w:p>
    <w:p w:rsidR="008B1BCE" w:rsidRPr="0066567F" w:rsidRDefault="00F96973" w:rsidP="00F96973">
      <w:pPr>
        <w:spacing w:line="480" w:lineRule="auto"/>
        <w:ind w:left="-57" w:right="183" w:hanging="33"/>
        <w:jc w:val="center"/>
      </w:pPr>
      <w:r w:rsidRPr="0066567F">
        <w:rPr>
          <w:noProof/>
        </w:rPr>
        <w:drawing>
          <wp:inline distT="0" distB="0" distL="0" distR="0">
            <wp:extent cx="3019425" cy="857250"/>
            <wp:effectExtent l="19050" t="0" r="9525" b="0"/>
            <wp:docPr id="2" name="Picture 1" descr="Figure 2 petrie meidum bow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petrie meidum bowl.tif"/>
                    <pic:cNvPicPr/>
                  </pic:nvPicPr>
                  <pic:blipFill>
                    <a:blip r:embed="rId9"/>
                    <a:stretch>
                      <a:fillRect/>
                    </a:stretch>
                  </pic:blipFill>
                  <pic:spPr>
                    <a:xfrm>
                      <a:off x="0" y="0"/>
                      <a:ext cx="3023898" cy="858520"/>
                    </a:xfrm>
                    <a:prstGeom prst="rect">
                      <a:avLst/>
                    </a:prstGeom>
                  </pic:spPr>
                </pic:pic>
              </a:graphicData>
            </a:graphic>
          </wp:inline>
        </w:drawing>
      </w:r>
    </w:p>
    <w:p w:rsidR="00097A4C" w:rsidRPr="0066567F" w:rsidRDefault="00097A4C" w:rsidP="008B1BCE">
      <w:pPr>
        <w:spacing w:line="480" w:lineRule="auto"/>
        <w:ind w:left="-57" w:right="183" w:firstLine="57"/>
      </w:pPr>
    </w:p>
    <w:p w:rsidR="00097A4C" w:rsidRPr="0066567F" w:rsidRDefault="00097A4C" w:rsidP="008B1BCE">
      <w:pPr>
        <w:spacing w:line="480" w:lineRule="auto"/>
        <w:ind w:left="-57" w:right="183" w:firstLine="57"/>
      </w:pPr>
      <w:proofErr w:type="gramStart"/>
      <w:r w:rsidRPr="0066567F">
        <w:rPr>
          <w:b/>
        </w:rPr>
        <w:t>Figure 2.</w:t>
      </w:r>
      <w:proofErr w:type="gramEnd"/>
      <w:r w:rsidRPr="0066567F">
        <w:rPr>
          <w:b/>
        </w:rPr>
        <w:t xml:space="preserve"> </w:t>
      </w:r>
      <w:r w:rsidRPr="0066567F">
        <w:t>Petrie’s rendering of a “</w:t>
      </w:r>
      <w:proofErr w:type="spellStart"/>
      <w:r w:rsidRPr="0066567F">
        <w:t>Meidum</w:t>
      </w:r>
      <w:proofErr w:type="spellEnd"/>
      <w:r w:rsidRPr="0066567F">
        <w:t xml:space="preserve">” bowl. </w:t>
      </w:r>
    </w:p>
    <w:p w:rsidR="00A96E62" w:rsidRPr="0066567F" w:rsidRDefault="00A96E62" w:rsidP="008903AA">
      <w:pPr>
        <w:spacing w:line="480" w:lineRule="auto"/>
        <w:ind w:left="-57" w:right="183" w:firstLine="777"/>
      </w:pPr>
      <w:r w:rsidRPr="0066567F">
        <w:t xml:space="preserve">Three additional assemblages </w:t>
      </w:r>
      <w:r w:rsidR="008F5008">
        <w:t xml:space="preserve">of </w:t>
      </w:r>
      <w:proofErr w:type="spellStart"/>
      <w:r w:rsidR="008F5008">
        <w:t>Meidum</w:t>
      </w:r>
      <w:proofErr w:type="spellEnd"/>
      <w:r w:rsidR="008F5008">
        <w:t xml:space="preserve"> bowls </w:t>
      </w:r>
      <w:r w:rsidRPr="0066567F">
        <w:t xml:space="preserve">are compared to </w:t>
      </w:r>
      <w:r w:rsidR="008F5008">
        <w:t xml:space="preserve">those from </w:t>
      </w:r>
      <w:proofErr w:type="spellStart"/>
      <w:r w:rsidRPr="0066567F">
        <w:t>Kom</w:t>
      </w:r>
      <w:proofErr w:type="spellEnd"/>
      <w:r w:rsidRPr="0066567F">
        <w:t xml:space="preserve"> el-</w:t>
      </w:r>
      <w:proofErr w:type="spellStart"/>
      <w:r w:rsidRPr="0066567F">
        <w:t>Hisn</w:t>
      </w:r>
      <w:proofErr w:type="spellEnd"/>
      <w:r w:rsidRPr="0066567F">
        <w:t>; the workmen’s village at Giza (4</w:t>
      </w:r>
      <w:r w:rsidRPr="0066567F">
        <w:rPr>
          <w:vertAlign w:val="superscript"/>
        </w:rPr>
        <w:t>th</w:t>
      </w:r>
      <w:r w:rsidRPr="0066567F">
        <w:t xml:space="preserve"> Dynasty), the surrounds of the </w:t>
      </w:r>
      <w:proofErr w:type="spellStart"/>
      <w:r w:rsidRPr="0066567F">
        <w:t>Teti</w:t>
      </w:r>
      <w:proofErr w:type="spellEnd"/>
      <w:r w:rsidRPr="0066567F">
        <w:t xml:space="preserve"> Pyramid temple at Saqqara (6</w:t>
      </w:r>
      <w:r w:rsidRPr="0066567F">
        <w:rPr>
          <w:vertAlign w:val="superscript"/>
        </w:rPr>
        <w:t>th</w:t>
      </w:r>
      <w:r w:rsidRPr="0066567F">
        <w:t xml:space="preserve"> Dynasty) and an assemblage spanning the Old Kingdom period (2</w:t>
      </w:r>
      <w:r w:rsidRPr="0066567F">
        <w:rPr>
          <w:vertAlign w:val="superscript"/>
        </w:rPr>
        <w:t>nd</w:t>
      </w:r>
      <w:r w:rsidRPr="0066567F">
        <w:t xml:space="preserve"> to 6</w:t>
      </w:r>
      <w:r w:rsidRPr="0066567F">
        <w:rPr>
          <w:vertAlign w:val="superscript"/>
        </w:rPr>
        <w:t>th</w:t>
      </w:r>
      <w:r w:rsidRPr="0066567F">
        <w:t xml:space="preserve"> Dynasty) from Elephantine (see </w:t>
      </w:r>
      <w:r w:rsidRPr="0066567F">
        <w:rPr>
          <w:bCs/>
        </w:rPr>
        <w:t>Figure 3</w:t>
      </w:r>
      <w:r w:rsidRPr="0066567F">
        <w:t xml:space="preserve"> for locations discussed).  </w:t>
      </w:r>
    </w:p>
    <w:p w:rsidR="00F96973" w:rsidRPr="0066567F" w:rsidRDefault="00F96973" w:rsidP="00832953">
      <w:pPr>
        <w:spacing w:line="480" w:lineRule="auto"/>
        <w:ind w:left="-57" w:right="183" w:hanging="33"/>
      </w:pPr>
      <w:r w:rsidRPr="0066567F">
        <w:rPr>
          <w:noProof/>
        </w:rPr>
        <w:drawing>
          <wp:inline distT="0" distB="0" distL="0" distR="0">
            <wp:extent cx="3514725" cy="3990975"/>
            <wp:effectExtent l="19050" t="0" r="9525" b="0"/>
            <wp:docPr id="4" name="Picture 3" descr="Figure 3 map of site locatio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map of site locations.tif"/>
                    <pic:cNvPicPr/>
                  </pic:nvPicPr>
                  <pic:blipFill>
                    <a:blip r:embed="rId10"/>
                    <a:stretch>
                      <a:fillRect/>
                    </a:stretch>
                  </pic:blipFill>
                  <pic:spPr>
                    <a:xfrm>
                      <a:off x="0" y="0"/>
                      <a:ext cx="3514725" cy="3990975"/>
                    </a:xfrm>
                    <a:prstGeom prst="rect">
                      <a:avLst/>
                    </a:prstGeom>
                  </pic:spPr>
                </pic:pic>
              </a:graphicData>
            </a:graphic>
          </wp:inline>
        </w:drawing>
      </w:r>
    </w:p>
    <w:p w:rsidR="00F96973" w:rsidRPr="0066567F" w:rsidRDefault="00F96973" w:rsidP="00F96973">
      <w:pPr>
        <w:spacing w:line="480" w:lineRule="auto"/>
        <w:ind w:left="-57" w:right="183" w:hanging="33"/>
      </w:pPr>
    </w:p>
    <w:p w:rsidR="00097A4C" w:rsidRPr="0066567F" w:rsidRDefault="00097A4C" w:rsidP="00F96973">
      <w:pPr>
        <w:spacing w:line="480" w:lineRule="auto"/>
        <w:ind w:left="-57" w:right="183" w:hanging="33"/>
      </w:pPr>
      <w:proofErr w:type="gramStart"/>
      <w:r w:rsidRPr="0066567F">
        <w:rPr>
          <w:b/>
        </w:rPr>
        <w:t>Figure 3.</w:t>
      </w:r>
      <w:proofErr w:type="gramEnd"/>
      <w:r w:rsidRPr="0066567F">
        <w:rPr>
          <w:b/>
        </w:rPr>
        <w:t xml:space="preserve">  </w:t>
      </w:r>
      <w:r w:rsidRPr="0066567F">
        <w:t xml:space="preserve">Map of locations discussed in text. </w:t>
      </w:r>
    </w:p>
    <w:p w:rsidR="00A96E62" w:rsidRPr="0066567F" w:rsidRDefault="00A96E62" w:rsidP="00DA1146">
      <w:pPr>
        <w:spacing w:line="480" w:lineRule="auto"/>
        <w:ind w:left="-57" w:right="183" w:firstLine="777"/>
      </w:pPr>
      <w:r w:rsidRPr="0066567F">
        <w:lastRenderedPageBreak/>
        <w:t>Elephantine is a critical assemblage in this study for three reasons.  First, this collection comes from deposits representing the Old Kingdom period</w:t>
      </w:r>
      <w:r w:rsidR="00BF55AB" w:rsidRPr="0066567F">
        <w:t xml:space="preserve"> from the 2</w:t>
      </w:r>
      <w:r w:rsidR="00BF55AB" w:rsidRPr="0066567F">
        <w:rPr>
          <w:vertAlign w:val="superscript"/>
        </w:rPr>
        <w:t>nd</w:t>
      </w:r>
      <w:r w:rsidR="00BF55AB" w:rsidRPr="0066567F">
        <w:t xml:space="preserve"> to 6</w:t>
      </w:r>
      <w:r w:rsidR="00BF55AB" w:rsidRPr="0066567F">
        <w:rPr>
          <w:vertAlign w:val="superscript"/>
        </w:rPr>
        <w:t>th</w:t>
      </w:r>
      <w:r w:rsidR="00BF55AB" w:rsidRPr="0066567F">
        <w:t xml:space="preserve"> Dynasties</w:t>
      </w:r>
      <w:r w:rsidRPr="0066567F">
        <w:t xml:space="preserve">.  Second, Elephantine, having a limited amount of arable floodplain in its immediate vicinity is also located near the most accessible source of granite in the Nile Valley; these combined factors indicate that Elephantine </w:t>
      </w:r>
      <w:r w:rsidR="00D431BA" w:rsidRPr="0066567F">
        <w:t>is more likely to be economically integrated with other Egyptian polities through the</w:t>
      </w:r>
      <w:r w:rsidRPr="0066567F">
        <w:t xml:space="preserve"> exportation of granite to other localities. Finally, </w:t>
      </w:r>
      <w:r w:rsidR="00D431BA" w:rsidRPr="0066567F">
        <w:t xml:space="preserve">because </w:t>
      </w:r>
      <w:r w:rsidRPr="0066567F">
        <w:t xml:space="preserve">the Elephantine assemblage spans </w:t>
      </w:r>
      <w:r w:rsidR="00494EB5">
        <w:t xml:space="preserve">the </w:t>
      </w:r>
      <w:r w:rsidRPr="0066567F">
        <w:t xml:space="preserve">chronological extent of the Old Kingdom period and therefore changes in attributes within the assemblage are largely sorted by time, rather than space.  </w:t>
      </w:r>
    </w:p>
    <w:p w:rsidR="009E2A90" w:rsidRDefault="00494EB5" w:rsidP="00054960">
      <w:pPr>
        <w:pStyle w:val="Body"/>
        <w:tabs>
          <w:tab w:val="clear" w:pos="3140"/>
        </w:tabs>
        <w:spacing w:before="0"/>
        <w:ind w:right="240"/>
      </w:pPr>
      <w:r>
        <w:t xml:space="preserve">In contrast to Elephantine, </w:t>
      </w:r>
      <w:proofErr w:type="spellStart"/>
      <w:r>
        <w:t>Kom</w:t>
      </w:r>
      <w:proofErr w:type="spellEnd"/>
      <w:r>
        <w:t xml:space="preserve"> el-</w:t>
      </w:r>
      <w:proofErr w:type="spellStart"/>
      <w:r>
        <w:t>Hisn</w:t>
      </w:r>
      <w:proofErr w:type="spellEnd"/>
      <w:r>
        <w:t xml:space="preserve"> is situated on the productive lands of the Nile Delta, and thus is presumed to have a certain amount of self-sufficiency. </w:t>
      </w:r>
      <w:r w:rsidR="00A96E62" w:rsidRPr="0066567F">
        <w:t xml:space="preserve">In this study, vessels from </w:t>
      </w:r>
      <w:proofErr w:type="spellStart"/>
      <w:r w:rsidR="00A96E62" w:rsidRPr="0066567F">
        <w:t>Kom</w:t>
      </w:r>
      <w:proofErr w:type="spellEnd"/>
      <w:r w:rsidR="00A96E62" w:rsidRPr="0066567F">
        <w:t xml:space="preserve"> el-</w:t>
      </w:r>
      <w:proofErr w:type="spellStart"/>
      <w:r w:rsidR="00A96E62" w:rsidRPr="0066567F">
        <w:t>Hisn</w:t>
      </w:r>
      <w:proofErr w:type="spellEnd"/>
      <w:r w:rsidR="00A96E62" w:rsidRPr="0066567F">
        <w:t xml:space="preserve"> are compared to similar vessels from other Old Kingdom assemblages in Egypt to determine if patterns of ceramic manufacture are consistent with the expectations of provincialism</w:t>
      </w:r>
      <w:r w:rsidR="00B07A65">
        <w:t xml:space="preserve"> or standardization</w:t>
      </w:r>
      <w:r w:rsidR="00A96E62" w:rsidRPr="0066567F">
        <w:t xml:space="preserve">. “Provincialism” is defined as a degree of self-sufficiency relative to other communities along the Nile which were integrated into a regional scale economy due to the elaborate monumental constructions that characterize the Egyptian Archaic and Old Kingdom periods (ca 3000-2100 BC).  </w:t>
      </w:r>
      <w:r w:rsidR="00CC2A59">
        <w:t xml:space="preserve">“Standardization” </w:t>
      </w:r>
      <w:r w:rsidR="001B2644">
        <w:t xml:space="preserve">is defined as evidence of centralized mass production. </w:t>
      </w:r>
      <w:r>
        <w:t xml:space="preserve">While not definitive, this study shows how ceramic variation can be used to assess economic integration. </w:t>
      </w:r>
    </w:p>
    <w:p w:rsidR="009E2A90" w:rsidRPr="00A325F3" w:rsidRDefault="00D52311" w:rsidP="00A325F3">
      <w:pPr>
        <w:pStyle w:val="Body"/>
        <w:tabs>
          <w:tab w:val="clear" w:pos="3140"/>
        </w:tabs>
        <w:spacing w:before="0"/>
        <w:ind w:right="240"/>
        <w:rPr>
          <w:color w:val="000000" w:themeColor="text1"/>
        </w:rPr>
      </w:pPr>
      <w:r>
        <w:t xml:space="preserve">This </w:t>
      </w:r>
      <w:r w:rsidR="004F14B3">
        <w:t xml:space="preserve">study </w:t>
      </w:r>
      <w:r>
        <w:t>also illustrates</w:t>
      </w:r>
      <w:r w:rsidR="004F14B3">
        <w:t xml:space="preserve"> </w:t>
      </w:r>
      <w:r>
        <w:t xml:space="preserve">why </w:t>
      </w:r>
      <w:r w:rsidR="00494EB5">
        <w:t xml:space="preserve">the universal chronological utility of Old Kingdom ceramic types </w:t>
      </w:r>
      <w:r>
        <w:t xml:space="preserve">should </w:t>
      </w:r>
      <w:r w:rsidR="00494EB5">
        <w:t xml:space="preserve">be reconsidered. </w:t>
      </w:r>
      <w:r w:rsidR="00A33F23" w:rsidRPr="009E2A90">
        <w:rPr>
          <w:color w:val="000000" w:themeColor="text1"/>
        </w:rPr>
        <w:t xml:space="preserve">A noteworthy study by Op de </w:t>
      </w:r>
      <w:proofErr w:type="spellStart"/>
      <w:r w:rsidR="00A33F23" w:rsidRPr="009E2A90">
        <w:rPr>
          <w:color w:val="000000" w:themeColor="text1"/>
        </w:rPr>
        <w:t>Beeck</w:t>
      </w:r>
      <w:proofErr w:type="spellEnd"/>
      <w:r w:rsidR="00A33F23" w:rsidRPr="009E2A90">
        <w:rPr>
          <w:color w:val="000000" w:themeColor="text1"/>
        </w:rPr>
        <w:t xml:space="preserve"> (2004) argues that </w:t>
      </w:r>
      <w:proofErr w:type="spellStart"/>
      <w:r w:rsidR="00A33F23" w:rsidRPr="009E2A90">
        <w:rPr>
          <w:color w:val="000000" w:themeColor="text1"/>
        </w:rPr>
        <w:t>Meidum</w:t>
      </w:r>
      <w:proofErr w:type="spellEnd"/>
      <w:r w:rsidR="00A33F23" w:rsidRPr="009E2A90">
        <w:rPr>
          <w:color w:val="000000" w:themeColor="text1"/>
        </w:rPr>
        <w:t xml:space="preserve"> bowls have not be</w:t>
      </w:r>
      <w:r w:rsidR="00B23A11">
        <w:rPr>
          <w:color w:val="000000" w:themeColor="text1"/>
        </w:rPr>
        <w:t>en</w:t>
      </w:r>
      <w:r w:rsidR="00A33F23" w:rsidRPr="009E2A90">
        <w:rPr>
          <w:color w:val="000000" w:themeColor="text1"/>
        </w:rPr>
        <w:t xml:space="preserve"> thoughtfully characterized over time. “</w:t>
      </w:r>
      <w:r w:rsidR="00A33F23" w:rsidRPr="009E2A90">
        <w:rPr>
          <w:color w:val="000000" w:themeColor="text1"/>
          <w:lang w:val="pl-PL"/>
        </w:rPr>
        <w:t xml:space="preserve">Due to changes in vessel morphology over time, Maidum bowls have been used for dating.  Several opinions have been </w:t>
      </w:r>
      <w:r w:rsidR="00A33F23" w:rsidRPr="009E2A90">
        <w:rPr>
          <w:color w:val="000000" w:themeColor="text1"/>
          <w:lang w:val="pl-PL"/>
        </w:rPr>
        <w:lastRenderedPageBreak/>
        <w:t>offered, however, these ideas are rarely based on a thorough critical analysis of the material itself</w:t>
      </w:r>
      <w:r w:rsidR="00A325F3">
        <w:rPr>
          <w:color w:val="000000" w:themeColor="text1"/>
        </w:rPr>
        <w:t>,</w:t>
      </w:r>
      <w:r w:rsidR="00A33F23" w:rsidRPr="009E2A90">
        <w:rPr>
          <w:color w:val="000000" w:themeColor="text1"/>
        </w:rPr>
        <w:t>”</w:t>
      </w:r>
      <w:r w:rsidR="00A33F23" w:rsidRPr="009E2A90">
        <w:rPr>
          <w:color w:val="000000" w:themeColor="text1"/>
          <w:lang w:val="pl-PL"/>
        </w:rPr>
        <w:t xml:space="preserve"> (Op </w:t>
      </w:r>
      <w:r w:rsidR="00A33F23" w:rsidRPr="009E2A90">
        <w:rPr>
          <w:color w:val="000000" w:themeColor="text1"/>
        </w:rPr>
        <w:t>d</w:t>
      </w:r>
      <w:r w:rsidR="00A33F23" w:rsidRPr="009E2A90">
        <w:rPr>
          <w:color w:val="000000" w:themeColor="text1"/>
          <w:lang w:val="pl-PL"/>
        </w:rPr>
        <w:t>e Beeck 2004:239)</w:t>
      </w:r>
      <w:r w:rsidR="00A325F3">
        <w:rPr>
          <w:color w:val="000000" w:themeColor="text1"/>
        </w:rPr>
        <w:t xml:space="preserve">. The findings presented here support the ideas advanced by Op de </w:t>
      </w:r>
      <w:proofErr w:type="spellStart"/>
      <w:r w:rsidR="00A325F3">
        <w:rPr>
          <w:color w:val="000000" w:themeColor="text1"/>
        </w:rPr>
        <w:t>Beeck</w:t>
      </w:r>
      <w:proofErr w:type="spellEnd"/>
      <w:r w:rsidR="00A325F3">
        <w:rPr>
          <w:color w:val="000000" w:themeColor="text1"/>
        </w:rPr>
        <w:t xml:space="preserve">; that the variation in </w:t>
      </w:r>
      <w:proofErr w:type="spellStart"/>
      <w:r w:rsidR="00A325F3">
        <w:rPr>
          <w:color w:val="000000" w:themeColor="text1"/>
        </w:rPr>
        <w:t>Meidum</w:t>
      </w:r>
      <w:proofErr w:type="spellEnd"/>
      <w:r w:rsidR="00A325F3">
        <w:rPr>
          <w:color w:val="000000" w:themeColor="text1"/>
        </w:rPr>
        <w:t xml:space="preserve"> bowls observed in Old Kingdom ceramic assemblages must be taken into account if the vessels are to be used as chronological markers. </w:t>
      </w:r>
    </w:p>
    <w:p w:rsidR="009615BD" w:rsidRPr="0066567F" w:rsidRDefault="009615BD" w:rsidP="007F12FB">
      <w:pPr>
        <w:pStyle w:val="Body"/>
        <w:tabs>
          <w:tab w:val="clear" w:pos="3140"/>
        </w:tabs>
        <w:spacing w:before="0"/>
        <w:ind w:right="240" w:firstLine="0"/>
        <w:jc w:val="center"/>
      </w:pPr>
      <w:r w:rsidRPr="0066567F">
        <w:rPr>
          <w:b/>
          <w:bCs/>
        </w:rPr>
        <w:t>Conceptions of Standardization</w:t>
      </w:r>
    </w:p>
    <w:p w:rsidR="00DE04F9" w:rsidRDefault="00E83A4E" w:rsidP="00DE04F9">
      <w:pPr>
        <w:pStyle w:val="Body"/>
        <w:tabs>
          <w:tab w:val="clear" w:pos="3140"/>
        </w:tabs>
        <w:spacing w:before="0"/>
        <w:ind w:right="240"/>
      </w:pPr>
      <w:r w:rsidRPr="0066567F">
        <w:t>Typical Old Kingdom vessel forms pro</w:t>
      </w:r>
      <w:r w:rsidR="00D37BB1">
        <w:t xml:space="preserve">vide an opportunity to test </w:t>
      </w:r>
      <w:r w:rsidR="00340E62">
        <w:t xml:space="preserve">the nature of the interaction </w:t>
      </w:r>
      <w:r w:rsidR="00D37BB1">
        <w:t xml:space="preserve">between communities </w:t>
      </w:r>
      <w:r w:rsidRPr="0066567F">
        <w:t xml:space="preserve">because the forms are clearly shared throughout the Nile Valley and Delta, but also </w:t>
      </w:r>
      <w:r w:rsidR="000A7F0A">
        <w:t>they also e</w:t>
      </w:r>
      <w:r w:rsidRPr="0066567F">
        <w:t xml:space="preserve">xhibit some local peculiarities, suggesting that </w:t>
      </w:r>
      <w:r w:rsidR="00E978F8">
        <w:t xml:space="preserve">observed </w:t>
      </w:r>
      <w:r w:rsidRPr="0066567F">
        <w:t>similarities between the vessel shapes in Old Kingdom assemblages result from diffusion of information rather than actual mass production and exchange.  Intentional attributes (</w:t>
      </w:r>
      <w:proofErr w:type="spellStart"/>
      <w:r w:rsidRPr="0066567F">
        <w:rPr>
          <w:i/>
        </w:rPr>
        <w:t>sensu</w:t>
      </w:r>
      <w:proofErr w:type="spellEnd"/>
      <w:r w:rsidRPr="0066567F">
        <w:rPr>
          <w:i/>
        </w:rPr>
        <w:t xml:space="preserve"> </w:t>
      </w:r>
      <w:proofErr w:type="spellStart"/>
      <w:r w:rsidRPr="00141F7B">
        <w:t>Costin</w:t>
      </w:r>
      <w:proofErr w:type="spellEnd"/>
      <w:r w:rsidRPr="00141F7B">
        <w:t xml:space="preserve"> and </w:t>
      </w:r>
      <w:proofErr w:type="spellStart"/>
      <w:r w:rsidRPr="00141F7B">
        <w:t>Hagstrum</w:t>
      </w:r>
      <w:proofErr w:type="spellEnd"/>
      <w:r w:rsidRPr="00141F7B">
        <w:t xml:space="preserve"> 1995</w:t>
      </w:r>
      <w:r w:rsidRPr="0066567F">
        <w:t>) relating to morphology are those that are likely to be shared between communities of potters; if variants exhibit local peculiarity, then there is less reason to posit the existence of centralizing factors.</w:t>
      </w:r>
      <w:r w:rsidR="00340E62">
        <w:t xml:space="preserve"> Therefore, we can </w:t>
      </w:r>
      <w:r w:rsidR="0068260B">
        <w:t xml:space="preserve">start to </w:t>
      </w:r>
      <w:r w:rsidR="00340E62">
        <w:t xml:space="preserve">test the hypothesis that </w:t>
      </w:r>
      <w:proofErr w:type="spellStart"/>
      <w:r w:rsidR="00340E62">
        <w:t>Kom</w:t>
      </w:r>
      <w:proofErr w:type="spellEnd"/>
      <w:r w:rsidR="00340E62">
        <w:t xml:space="preserve"> el-</w:t>
      </w:r>
      <w:proofErr w:type="spellStart"/>
      <w:r w:rsidR="00340E62">
        <w:t>Hisn</w:t>
      </w:r>
      <w:proofErr w:type="spellEnd"/>
      <w:r w:rsidR="00340E62">
        <w:t xml:space="preserve"> was either a) integrated into the larger Egyptian “state” or b) exhibits m</w:t>
      </w:r>
      <w:r w:rsidR="0068260B">
        <w:t>ore provincial characteristics</w:t>
      </w:r>
      <w:r w:rsidR="00366CDC">
        <w:t>,</w:t>
      </w:r>
      <w:r w:rsidR="0068260B">
        <w:t xml:space="preserve"> by examining how similar </w:t>
      </w:r>
      <w:proofErr w:type="spellStart"/>
      <w:r w:rsidR="0068260B">
        <w:t>Kom</w:t>
      </w:r>
      <w:proofErr w:type="spellEnd"/>
      <w:r w:rsidR="0068260B">
        <w:t xml:space="preserve"> el-</w:t>
      </w:r>
      <w:proofErr w:type="spellStart"/>
      <w:r w:rsidR="0068260B">
        <w:t>Hisn</w:t>
      </w:r>
      <w:proofErr w:type="spellEnd"/>
      <w:r w:rsidR="0068260B">
        <w:t xml:space="preserve"> ceramics in general, and </w:t>
      </w:r>
      <w:proofErr w:type="spellStart"/>
      <w:r w:rsidR="0068260B">
        <w:t>Meidum</w:t>
      </w:r>
      <w:proofErr w:type="spellEnd"/>
      <w:r w:rsidR="0068260B">
        <w:t xml:space="preserve"> bowls in particular, are to assemblages of similar cera</w:t>
      </w:r>
      <w:r w:rsidR="002C0BF6">
        <w:t>mics from other parts of Egypt.</w:t>
      </w:r>
    </w:p>
    <w:p w:rsidR="00DE04F9" w:rsidRDefault="002C0BF6" w:rsidP="00B23A11">
      <w:pPr>
        <w:pStyle w:val="Body"/>
        <w:tabs>
          <w:tab w:val="clear" w:pos="3140"/>
        </w:tabs>
        <w:spacing w:before="0"/>
        <w:ind w:right="240"/>
      </w:pPr>
      <w:r>
        <w:t>To truly examine standardization, it is necessary to “deconstruct” the type “</w:t>
      </w:r>
      <w:proofErr w:type="spellStart"/>
      <w:r w:rsidR="00DE04F9">
        <w:t>Me</w:t>
      </w:r>
      <w:r>
        <w:t>idum</w:t>
      </w:r>
      <w:proofErr w:type="spellEnd"/>
      <w:r>
        <w:t xml:space="preserve"> bowl.” </w:t>
      </w:r>
      <w:r w:rsidR="008C3224">
        <w:t xml:space="preserve"> </w:t>
      </w:r>
      <w:r w:rsidR="00B23A11" w:rsidRPr="0066567F">
        <w:t>The “</w:t>
      </w:r>
      <w:proofErr w:type="spellStart"/>
      <w:r w:rsidR="00B23A11" w:rsidRPr="0066567F">
        <w:t>Meidum</w:t>
      </w:r>
      <w:proofErr w:type="spellEnd"/>
      <w:r w:rsidR="00B23A11" w:rsidRPr="0066567F">
        <w:t xml:space="preserve">” bowl was first identified by Petrie at the Pyramid of </w:t>
      </w:r>
      <w:proofErr w:type="spellStart"/>
      <w:r w:rsidR="00B23A11" w:rsidRPr="0066567F">
        <w:t>Meidum</w:t>
      </w:r>
      <w:proofErr w:type="spellEnd"/>
      <w:r w:rsidR="00B23A11" w:rsidRPr="0066567F">
        <w:t xml:space="preserve"> in 1892.  He described the type as follows “….the bowls in the </w:t>
      </w:r>
      <w:proofErr w:type="spellStart"/>
      <w:r w:rsidR="00B23A11" w:rsidRPr="0066567F">
        <w:t>Meidum</w:t>
      </w:r>
      <w:proofErr w:type="spellEnd"/>
      <w:r w:rsidR="00B23A11" w:rsidRPr="0066567F">
        <w:t xml:space="preserve"> assemblage were of fine quality, but a smaller percentage came in a coarser quality.  Some forms had a beaded edge, or were turned with a hare-lip” (Petrie 1892:35). Petrie also noted the bowls from </w:t>
      </w:r>
      <w:proofErr w:type="spellStart"/>
      <w:r w:rsidR="00B23A11" w:rsidRPr="0066567F">
        <w:t>Meidum</w:t>
      </w:r>
      <w:proofErr w:type="spellEnd"/>
      <w:r w:rsidR="00B23A11" w:rsidRPr="0066567F">
        <w:t xml:space="preserve"> were similar to forms found at Giza associated with 4th Dynasty (ca. 2600-2450 BC) contexts (Petrie</w:t>
      </w:r>
      <w:r w:rsidR="00B23A11" w:rsidRPr="0066567F">
        <w:rPr>
          <w:smallCaps/>
        </w:rPr>
        <w:t xml:space="preserve"> </w:t>
      </w:r>
      <w:r w:rsidR="00B23A11" w:rsidRPr="0066567F">
        <w:t xml:space="preserve">1892:35).  The Giza vessels are described by </w:t>
      </w:r>
      <w:proofErr w:type="spellStart"/>
      <w:r w:rsidR="00B23A11" w:rsidRPr="0066567F">
        <w:t>Reisner</w:t>
      </w:r>
      <w:proofErr w:type="spellEnd"/>
      <w:r w:rsidR="00B23A11" w:rsidRPr="0066567F">
        <w:t xml:space="preserve"> (in </w:t>
      </w:r>
      <w:proofErr w:type="spellStart"/>
      <w:r w:rsidR="00B23A11" w:rsidRPr="0066567F">
        <w:t>Reisner</w:t>
      </w:r>
      <w:proofErr w:type="spellEnd"/>
      <w:r w:rsidR="00B23A11" w:rsidRPr="0066567F">
        <w:t xml:space="preserve"> and Smith</w:t>
      </w:r>
      <w:r w:rsidR="00B23A11" w:rsidRPr="0066567F">
        <w:rPr>
          <w:smallCaps/>
        </w:rPr>
        <w:t xml:space="preserve"> </w:t>
      </w:r>
      <w:r w:rsidR="00B23A11" w:rsidRPr="0066567F">
        <w:t xml:space="preserve">1955:60) as </w:t>
      </w:r>
      <w:r w:rsidR="00B23A11" w:rsidRPr="0066567F">
        <w:lastRenderedPageBreak/>
        <w:t xml:space="preserve">“round-bottomed bowl(s) with a </w:t>
      </w:r>
      <w:proofErr w:type="spellStart"/>
      <w:r w:rsidR="00B23A11" w:rsidRPr="0066567F">
        <w:t>recurved</w:t>
      </w:r>
      <w:proofErr w:type="spellEnd"/>
      <w:r w:rsidR="00B23A11" w:rsidRPr="0066567F">
        <w:t xml:space="preserve"> rim.”  Thus the </w:t>
      </w:r>
      <w:proofErr w:type="spellStart"/>
      <w:r w:rsidR="00B23A11" w:rsidRPr="0066567F">
        <w:t>Meidum</w:t>
      </w:r>
      <w:proofErr w:type="spellEnd"/>
      <w:r w:rsidR="00B23A11" w:rsidRPr="0066567F">
        <w:t xml:space="preserve"> bowl was identified in two separate 4th Dynasty contexts.  Subsequently, </w:t>
      </w:r>
      <w:proofErr w:type="spellStart"/>
      <w:r w:rsidR="00B23A11" w:rsidRPr="0066567F">
        <w:t>Meidum</w:t>
      </w:r>
      <w:proofErr w:type="spellEnd"/>
      <w:r w:rsidR="00B23A11" w:rsidRPr="0066567F">
        <w:t xml:space="preserve"> bowls have been recovered from a variety of depositional contexts throughout the Nile Valley, ranging from copper workshops, to tomb contexts, to domestic settings.</w:t>
      </w:r>
      <w:r w:rsidR="00B23A11" w:rsidRPr="006433B8">
        <w:rPr>
          <w:iCs/>
        </w:rPr>
        <w:t xml:space="preserve"> </w:t>
      </w:r>
    </w:p>
    <w:p w:rsidR="00005B2F" w:rsidRDefault="008C3224" w:rsidP="00DE04F9">
      <w:pPr>
        <w:pStyle w:val="Body"/>
        <w:tabs>
          <w:tab w:val="clear" w:pos="3140"/>
        </w:tabs>
        <w:spacing w:before="0"/>
        <w:ind w:right="240"/>
        <w:rPr>
          <w:lang w:val="pl-PL"/>
        </w:rPr>
      </w:pPr>
      <w:r>
        <w:t xml:space="preserve">Analysts working with </w:t>
      </w:r>
      <w:proofErr w:type="spellStart"/>
      <w:r>
        <w:t>Meidum</w:t>
      </w:r>
      <w:proofErr w:type="spellEnd"/>
      <w:r>
        <w:t xml:space="preserve"> bowls commonly agree on what they are when they see</w:t>
      </w:r>
      <w:r w:rsidR="007B0644">
        <w:t xml:space="preserve"> them.  However, Op de </w:t>
      </w:r>
      <w:proofErr w:type="spellStart"/>
      <w:r w:rsidR="007B0644">
        <w:t>Beeck</w:t>
      </w:r>
      <w:proofErr w:type="spellEnd"/>
      <w:r w:rsidR="007B0644">
        <w:t xml:space="preserve"> (</w:t>
      </w:r>
      <w:r>
        <w:t>2004</w:t>
      </w:r>
      <w:r w:rsidR="007B0644">
        <w:t>:239)</w:t>
      </w:r>
      <w:r>
        <w:t xml:space="preserve"> points out that </w:t>
      </w:r>
      <w:r w:rsidR="002C0BF6" w:rsidRPr="002C0BF6">
        <w:t>“</w:t>
      </w:r>
      <w:r w:rsidR="007B0644">
        <w:rPr>
          <w:lang w:val="pl-PL"/>
        </w:rPr>
        <w:t>(a)</w:t>
      </w:r>
      <w:r w:rsidR="002C0BF6" w:rsidRPr="002C0BF6">
        <w:rPr>
          <w:lang w:val="pl-PL"/>
        </w:rPr>
        <w:t xml:space="preserve"> precise definition of a Maidum bowl has never been given</w:t>
      </w:r>
      <w:r w:rsidR="002C0BF6" w:rsidRPr="002C0BF6">
        <w:t>.</w:t>
      </w:r>
      <w:r w:rsidR="002C0BF6" w:rsidRPr="002C0BF6">
        <w:rPr>
          <w:lang w:val="pl-PL"/>
        </w:rPr>
        <w:t xml:space="preserve"> The term covers certain distinguishing characteristics with regard to shape and surface finish. Carinated with a roun</w:t>
      </w:r>
      <w:r>
        <w:rPr>
          <w:lang w:val="pl-PL"/>
        </w:rPr>
        <w:t xml:space="preserve">ded based and an S-shaped rim. </w:t>
      </w:r>
      <w:r w:rsidR="002C0BF6" w:rsidRPr="002C0BF6">
        <w:rPr>
          <w:lang w:val="pl-PL"/>
        </w:rPr>
        <w:t>Coated with an ochre wash and then burnished.</w:t>
      </w:r>
      <w:r w:rsidR="002C0BF6" w:rsidRPr="002C0BF6">
        <w:t xml:space="preserve">” </w:t>
      </w:r>
      <w:r w:rsidR="002C0BF6">
        <w:t xml:space="preserve"> </w:t>
      </w:r>
      <w:r w:rsidR="00271C4C">
        <w:t>This study applies a systematic approach to quantifying aspects of “</w:t>
      </w:r>
      <w:proofErr w:type="spellStart"/>
      <w:r w:rsidR="00271C4C">
        <w:t>Meidum</w:t>
      </w:r>
      <w:proofErr w:type="spellEnd"/>
      <w:r w:rsidR="00271C4C">
        <w:t xml:space="preserve"> bowls” as a step toward </w:t>
      </w:r>
      <w:r w:rsidR="00A80BAC">
        <w:t xml:space="preserve">developing a more systematic means of classifying Old Kingdom ceramics in general. </w:t>
      </w:r>
    </w:p>
    <w:p w:rsidR="00BC15DF" w:rsidRPr="0066567F" w:rsidRDefault="00EA03ED" w:rsidP="00BC15DF">
      <w:pPr>
        <w:pStyle w:val="Body"/>
        <w:tabs>
          <w:tab w:val="clear" w:pos="3140"/>
        </w:tabs>
        <w:spacing w:before="0"/>
        <w:ind w:right="240" w:firstLine="0"/>
      </w:pPr>
      <w:r>
        <w:rPr>
          <w:i/>
        </w:rPr>
        <w:t>Cultural transmission</w:t>
      </w:r>
    </w:p>
    <w:p w:rsidR="00F44F94" w:rsidRPr="0066567F" w:rsidRDefault="00F44F94" w:rsidP="00F44F94">
      <w:pPr>
        <w:pStyle w:val="Body"/>
        <w:tabs>
          <w:tab w:val="clear" w:pos="3140"/>
        </w:tabs>
        <w:spacing w:before="0"/>
        <w:ind w:right="240"/>
      </w:pPr>
      <w:r w:rsidRPr="0066567F">
        <w:t>The spatial extent of a socially complex entity answers an ecological question in that a “centralized” society is one in which some set of integrating factors connects groups otherwise vastly separated in Euclidean space, such that economic or environmental effects at one location would have implications for the connected community despite distance between the groups. Communities with long distance economic relationships will nonetheless appear culturally more similar to each other</w:t>
      </w:r>
      <w:r>
        <w:t>,</w:t>
      </w:r>
      <w:r w:rsidRPr="0066567F">
        <w:t xml:space="preserve"> than </w:t>
      </w:r>
      <w:r>
        <w:t xml:space="preserve">they might </w:t>
      </w:r>
      <w:r w:rsidRPr="0066567F">
        <w:t>to communities closer in space</w:t>
      </w:r>
      <w:r w:rsidR="00751662">
        <w:t xml:space="preserve">, </w:t>
      </w:r>
      <w:r w:rsidRPr="0066567F">
        <w:t xml:space="preserve"> as a result of intensified interaction increasing the likelihood of transmission of information between them (</w:t>
      </w:r>
      <w:proofErr w:type="spellStart"/>
      <w:r w:rsidRPr="0066567F">
        <w:t>Lipo</w:t>
      </w:r>
      <w:proofErr w:type="spellEnd"/>
      <w:r w:rsidRPr="0066567F">
        <w:t xml:space="preserve"> 2001:34).  </w:t>
      </w:r>
    </w:p>
    <w:p w:rsidR="00BC15DF" w:rsidRPr="0066567F" w:rsidRDefault="00F44F94" w:rsidP="00F44F94">
      <w:pPr>
        <w:spacing w:line="480" w:lineRule="auto"/>
        <w:ind w:firstLine="720"/>
      </w:pPr>
      <w:r w:rsidRPr="0066567F">
        <w:t xml:space="preserve"> </w:t>
      </w:r>
      <w:r w:rsidR="00BC15DF" w:rsidRPr="0066567F">
        <w:t>“Transmission” refers to the movement of information, whether genetic (in the form of genes) or cultural (in the form of memes), through a population</w:t>
      </w:r>
      <w:r w:rsidR="00B12312">
        <w:t>, in this specific case, through a population of potters</w:t>
      </w:r>
      <w:r w:rsidR="00BC15DF" w:rsidRPr="0066567F">
        <w:t xml:space="preserve">. </w:t>
      </w:r>
      <w:r w:rsidR="001C2A8B">
        <w:t xml:space="preserve">Cultural or </w:t>
      </w:r>
      <w:proofErr w:type="spellStart"/>
      <w:r w:rsidR="001C2A8B">
        <w:t>memetic</w:t>
      </w:r>
      <w:proofErr w:type="spellEnd"/>
      <w:r w:rsidR="001C2A8B">
        <w:t xml:space="preserve"> i</w:t>
      </w:r>
      <w:r w:rsidR="00BC15DF" w:rsidRPr="0066567F">
        <w:t xml:space="preserve">nformation can move through a population (be </w:t>
      </w:r>
      <w:r w:rsidR="00BC15DF" w:rsidRPr="0066567F">
        <w:lastRenderedPageBreak/>
        <w:t>introduced and sorted) in three ways; vertically, obliquely or horizontally (</w:t>
      </w:r>
      <w:r w:rsidR="001B0689">
        <w:t xml:space="preserve">Boyd and </w:t>
      </w:r>
      <w:proofErr w:type="spellStart"/>
      <w:r w:rsidR="001B0689">
        <w:t>Richerson</w:t>
      </w:r>
      <w:proofErr w:type="spellEnd"/>
      <w:r w:rsidR="001B0689">
        <w:t xml:space="preserve"> 1985:11-12).  </w:t>
      </w:r>
      <w:r w:rsidR="00BC15DF" w:rsidRPr="0066567F">
        <w:t>Oblique</w:t>
      </w:r>
      <w:r w:rsidR="00E978F8">
        <w:t xml:space="preserve"> transmission refers to cross-</w:t>
      </w:r>
      <w:r w:rsidR="00BC15DF" w:rsidRPr="0066567F">
        <w:t xml:space="preserve">generational transmission wherein information does not move from parent to offspring, but rather from someone other than the parent who is in the same generation as the parent (Boyd and </w:t>
      </w:r>
      <w:proofErr w:type="spellStart"/>
      <w:r w:rsidR="00BC15DF" w:rsidRPr="0066567F">
        <w:t>Richerson</w:t>
      </w:r>
      <w:proofErr w:type="spellEnd"/>
      <w:r w:rsidR="00BC15DF" w:rsidRPr="0066567F">
        <w:t xml:space="preserve"> 1985:53-56).  Horizontal transmission takes place across individuals of the same generation, and is thus analogous to a pathogen in that acceptance of a cultural variant is “infectious” and has a short lifespan relative to that of its host (Boyd and </w:t>
      </w:r>
      <w:proofErr w:type="spellStart"/>
      <w:r w:rsidR="00BC15DF" w:rsidRPr="0066567F">
        <w:t>Richerson</w:t>
      </w:r>
      <w:proofErr w:type="spellEnd"/>
      <w:r w:rsidR="00BC15DF" w:rsidRPr="0066567F">
        <w:t xml:space="preserve"> 1985:8).  </w:t>
      </w:r>
    </w:p>
    <w:p w:rsidR="00BC15DF" w:rsidRPr="0066567F" w:rsidRDefault="00BC15DF" w:rsidP="00BC15DF">
      <w:pPr>
        <w:spacing w:line="480" w:lineRule="auto"/>
        <w:ind w:firstLine="720"/>
      </w:pPr>
      <w:r w:rsidRPr="0066567F">
        <w:t>Any archaeological population can be simply described as consisting of teachers (individuals transmitting codes for manufacturing particular artifact variants) and learners (individuals receptive to the transmission of codes for manufacturing particular artifact variants).  Information about pottery manufacture can therefore potentially be transmitted vertically, horizontally and obliquely from potter (either specialized or unspecialized) to potte</w:t>
      </w:r>
      <w:r w:rsidR="008A0F5D">
        <w:t xml:space="preserve">r.  </w:t>
      </w:r>
    </w:p>
    <w:p w:rsidR="00BC15DF" w:rsidRPr="0066567F" w:rsidRDefault="00BC15DF" w:rsidP="00BC15DF">
      <w:pPr>
        <w:spacing w:line="480" w:lineRule="auto"/>
        <w:rPr>
          <w:i/>
        </w:rPr>
      </w:pPr>
      <w:proofErr w:type="spellStart"/>
      <w:r w:rsidRPr="0066567F">
        <w:rPr>
          <w:i/>
        </w:rPr>
        <w:t>Seriation</w:t>
      </w:r>
      <w:proofErr w:type="spellEnd"/>
      <w:r w:rsidRPr="0066567F">
        <w:rPr>
          <w:i/>
        </w:rPr>
        <w:t xml:space="preserve"> and </w:t>
      </w:r>
      <w:r w:rsidR="00ED2185">
        <w:rPr>
          <w:i/>
        </w:rPr>
        <w:t xml:space="preserve">cultural </w:t>
      </w:r>
      <w:r w:rsidRPr="0066567F">
        <w:rPr>
          <w:i/>
        </w:rPr>
        <w:t>transmission theory</w:t>
      </w:r>
    </w:p>
    <w:p w:rsidR="0010507F" w:rsidRDefault="004C6DA9" w:rsidP="008A0F5D">
      <w:pPr>
        <w:spacing w:line="480" w:lineRule="auto"/>
        <w:ind w:firstLine="720"/>
      </w:pPr>
      <w:r>
        <w:t>Information</w:t>
      </w:r>
      <w:r w:rsidR="00B11711">
        <w:t>, in this case,</w:t>
      </w:r>
      <w:r>
        <w:t xml:space="preserve"> templates for manufacturing ceramic vessels</w:t>
      </w:r>
      <w:r w:rsidR="00B11711">
        <w:t>,</w:t>
      </w:r>
      <w:r>
        <w:t xml:space="preserve"> is transmitted fro</w:t>
      </w:r>
      <w:r w:rsidR="00B11711">
        <w:t>m craftsman to craftsman creating</w:t>
      </w:r>
      <w:r>
        <w:t xml:space="preserve"> lineages or traditions. </w:t>
      </w:r>
      <w:r w:rsidR="00BC15DF" w:rsidRPr="0066567F">
        <w:t xml:space="preserve">Lineages of artifact manufacturing traditions are </w:t>
      </w:r>
      <w:r w:rsidR="002E4CFF">
        <w:t xml:space="preserve">illustrated with </w:t>
      </w:r>
      <w:r w:rsidR="00BC15DF" w:rsidRPr="0066567F">
        <w:t xml:space="preserve">archaeological </w:t>
      </w:r>
      <w:proofErr w:type="spellStart"/>
      <w:r w:rsidR="00BC15DF" w:rsidRPr="0066567F">
        <w:t>seriations</w:t>
      </w:r>
      <w:proofErr w:type="spellEnd"/>
      <w:r w:rsidR="00BC15DF" w:rsidRPr="0066567F">
        <w:t xml:space="preserve"> (</w:t>
      </w:r>
      <w:proofErr w:type="spellStart"/>
      <w:r w:rsidR="00BC15DF" w:rsidRPr="0066567F">
        <w:t>Dunnell</w:t>
      </w:r>
      <w:proofErr w:type="spellEnd"/>
      <w:r w:rsidR="00BC15DF" w:rsidRPr="0066567F">
        <w:t xml:space="preserve"> 1970:313).  </w:t>
      </w:r>
      <w:proofErr w:type="spellStart"/>
      <w:r w:rsidR="00BC15DF" w:rsidRPr="0066567F">
        <w:t>Seriation</w:t>
      </w:r>
      <w:proofErr w:type="spellEnd"/>
      <w:r w:rsidR="00BC15DF" w:rsidRPr="0066567F">
        <w:t xml:space="preserve"> is a tool traditionally employed for questions of chronology.  But in a broader sense, </w:t>
      </w:r>
      <w:proofErr w:type="spellStart"/>
      <w:r w:rsidR="00BC15DF" w:rsidRPr="0066567F">
        <w:t>seriation</w:t>
      </w:r>
      <w:proofErr w:type="spellEnd"/>
      <w:r w:rsidR="00BC15DF" w:rsidRPr="0066567F">
        <w:t xml:space="preserve"> is an analytic technique which serves to arrange comparable units along a line</w:t>
      </w:r>
      <w:r w:rsidR="00562E20">
        <w:t xml:space="preserve"> or dimensions</w:t>
      </w:r>
      <w:r w:rsidR="00BC15DF" w:rsidRPr="0066567F">
        <w:t xml:space="preserve"> such that the position of each unit reflects its </w:t>
      </w:r>
      <w:r w:rsidR="00562E20">
        <w:t xml:space="preserve">relative </w:t>
      </w:r>
      <w:r w:rsidR="00BC15DF" w:rsidRPr="0066567F">
        <w:t>similarity to other units, with time being the dimension most often chosen</w:t>
      </w:r>
      <w:r w:rsidR="001931E6">
        <w:t xml:space="preserve"> (</w:t>
      </w:r>
      <w:r w:rsidR="001931E6" w:rsidRPr="00141F7B">
        <w:t>Marquardt 1978:408-409</w:t>
      </w:r>
      <w:r w:rsidR="001931E6">
        <w:t>).  M</w:t>
      </w:r>
      <w:r w:rsidR="00BC15DF" w:rsidRPr="0066567F">
        <w:t xml:space="preserve">any authors (e.g. </w:t>
      </w:r>
      <w:proofErr w:type="spellStart"/>
      <w:r w:rsidR="00BC15DF" w:rsidRPr="00141F7B">
        <w:t>Cowgill</w:t>
      </w:r>
      <w:proofErr w:type="spellEnd"/>
      <w:r w:rsidR="00BC15DF" w:rsidRPr="00141F7B">
        <w:t xml:space="preserve"> 1972;</w:t>
      </w:r>
      <w:r w:rsidR="00BC15DF" w:rsidRPr="00E13D6A">
        <w:rPr>
          <w:color w:val="FF0000"/>
        </w:rPr>
        <w:t xml:space="preserve"> </w:t>
      </w:r>
      <w:proofErr w:type="spellStart"/>
      <w:r w:rsidR="00BC15DF" w:rsidRPr="00141F7B">
        <w:t>Deetz</w:t>
      </w:r>
      <w:proofErr w:type="spellEnd"/>
      <w:r w:rsidR="00BC15DF" w:rsidRPr="00141F7B">
        <w:t xml:space="preserve"> and </w:t>
      </w:r>
      <w:proofErr w:type="spellStart"/>
      <w:r w:rsidR="00BC15DF" w:rsidRPr="00141F7B">
        <w:t>Detlefsen</w:t>
      </w:r>
      <w:proofErr w:type="spellEnd"/>
      <w:r w:rsidR="00BC15DF" w:rsidRPr="00141F7B">
        <w:t xml:space="preserve"> 1965; </w:t>
      </w:r>
      <w:proofErr w:type="spellStart"/>
      <w:r w:rsidR="00BC15DF" w:rsidRPr="00141F7B">
        <w:t>Dunnell</w:t>
      </w:r>
      <w:proofErr w:type="spellEnd"/>
      <w:r w:rsidR="00BC15DF" w:rsidRPr="00141F7B">
        <w:t xml:space="preserve"> 1970;</w:t>
      </w:r>
      <w:r w:rsidR="00BC15DF" w:rsidRPr="00E13D6A">
        <w:rPr>
          <w:color w:val="FF0000"/>
        </w:rPr>
        <w:t xml:space="preserve"> </w:t>
      </w:r>
      <w:proofErr w:type="spellStart"/>
      <w:r w:rsidR="00BC15DF" w:rsidRPr="00141F7B">
        <w:t>Lipo</w:t>
      </w:r>
      <w:proofErr w:type="spellEnd"/>
      <w:r w:rsidR="00BC15DF" w:rsidRPr="00141F7B">
        <w:t xml:space="preserve"> 2001</w:t>
      </w:r>
      <w:r w:rsidR="00BC15DF" w:rsidRPr="0066567F">
        <w:t xml:space="preserve">) have noted that </w:t>
      </w:r>
      <w:proofErr w:type="spellStart"/>
      <w:r w:rsidR="00BC15DF" w:rsidRPr="0066567F">
        <w:t>seriations</w:t>
      </w:r>
      <w:proofErr w:type="spellEnd"/>
      <w:r w:rsidR="00BC15DF" w:rsidRPr="0066567F">
        <w:t xml:space="preserve"> constructed to answer questions of time must adhere also to the idea that both space and time sort variation, thus care must be taken to control for space w</w:t>
      </w:r>
      <w:r w:rsidR="00A738F2">
        <w:t xml:space="preserve">hen constructing archaeological </w:t>
      </w:r>
      <w:proofErr w:type="spellStart"/>
      <w:r w:rsidR="00BC15DF" w:rsidRPr="0066567F">
        <w:t>seriations</w:t>
      </w:r>
      <w:proofErr w:type="spellEnd"/>
      <w:r w:rsidR="00BC15DF" w:rsidRPr="0066567F">
        <w:t xml:space="preserve">.  </w:t>
      </w:r>
    </w:p>
    <w:p w:rsidR="00BC15DF" w:rsidRPr="0066567F" w:rsidRDefault="000739F9" w:rsidP="006F7C11">
      <w:pPr>
        <w:spacing w:line="480" w:lineRule="auto"/>
        <w:ind w:firstLine="720"/>
      </w:pPr>
      <w:r>
        <w:lastRenderedPageBreak/>
        <w:t>Several authors have noted</w:t>
      </w:r>
      <w:r w:rsidR="006F7C11">
        <w:t xml:space="preserve"> three</w:t>
      </w:r>
      <w:r>
        <w:t xml:space="preserve"> </w:t>
      </w:r>
      <w:r w:rsidR="00BC15DF" w:rsidRPr="0066567F">
        <w:t xml:space="preserve">generalizations to which a </w:t>
      </w:r>
      <w:proofErr w:type="spellStart"/>
      <w:r w:rsidR="00BC15DF" w:rsidRPr="0066567F">
        <w:t>seriation</w:t>
      </w:r>
      <w:proofErr w:type="spellEnd"/>
      <w:r w:rsidR="00BC15DF" w:rsidRPr="0066567F">
        <w:t xml:space="preserve"> must conform to best reflect chronological information (summarized in </w:t>
      </w:r>
      <w:proofErr w:type="spellStart"/>
      <w:r w:rsidR="00BC15DF" w:rsidRPr="0066567F">
        <w:t>Dunnell</w:t>
      </w:r>
      <w:proofErr w:type="spellEnd"/>
      <w:r w:rsidR="00BC15DF" w:rsidRPr="0066567F">
        <w:t xml:space="preserve"> 1970).  The first requirement of a </w:t>
      </w:r>
      <w:proofErr w:type="spellStart"/>
      <w:r w:rsidR="00BC15DF" w:rsidRPr="0066567F">
        <w:t>seriation</w:t>
      </w:r>
      <w:proofErr w:type="spellEnd"/>
      <w:r w:rsidR="00BC15DF" w:rsidRPr="0066567F">
        <w:t xml:space="preserve"> is that all groups included in the </w:t>
      </w:r>
      <w:proofErr w:type="spellStart"/>
      <w:r w:rsidR="00BC15DF" w:rsidRPr="0066567F">
        <w:t>seriation</w:t>
      </w:r>
      <w:proofErr w:type="spellEnd"/>
      <w:r w:rsidR="00BC15DF" w:rsidRPr="0066567F">
        <w:t xml:space="preserve"> must be of comparable duration (Phillips et al. 1951:223).  If types in the </w:t>
      </w:r>
      <w:proofErr w:type="spellStart"/>
      <w:r w:rsidR="00BC15DF" w:rsidRPr="0066567F">
        <w:t>seriation</w:t>
      </w:r>
      <w:proofErr w:type="spellEnd"/>
      <w:r w:rsidR="00BC15DF" w:rsidRPr="0066567F">
        <w:t xml:space="preserve"> all have relatively short “</w:t>
      </w:r>
      <w:proofErr w:type="spellStart"/>
      <w:r w:rsidR="00BC15DF" w:rsidRPr="0066567F">
        <w:t>lifespans</w:t>
      </w:r>
      <w:proofErr w:type="spellEnd"/>
      <w:r w:rsidR="00BC15DF" w:rsidRPr="0066567F">
        <w:t xml:space="preserve">,” the </w:t>
      </w:r>
      <w:proofErr w:type="spellStart"/>
      <w:r w:rsidR="00BC15DF" w:rsidRPr="0066567F">
        <w:t>seriation</w:t>
      </w:r>
      <w:proofErr w:type="spellEnd"/>
      <w:r w:rsidR="00BC15DF" w:rsidRPr="0066567F">
        <w:t xml:space="preserve"> will allow finer temporal discriminati</w:t>
      </w:r>
      <w:r w:rsidR="00B12312">
        <w:t>ons (</w:t>
      </w:r>
      <w:proofErr w:type="spellStart"/>
      <w:r w:rsidR="00B12312">
        <w:t>Dunnell</w:t>
      </w:r>
      <w:proofErr w:type="spellEnd"/>
      <w:r w:rsidR="00B12312">
        <w:t xml:space="preserve"> 1970:311).  </w:t>
      </w:r>
      <w:r w:rsidR="00BC15DF" w:rsidRPr="0066567F">
        <w:t xml:space="preserve">The second condition for chronological </w:t>
      </w:r>
      <w:proofErr w:type="spellStart"/>
      <w:r w:rsidR="00BC15DF" w:rsidRPr="0066567F">
        <w:t>seriation</w:t>
      </w:r>
      <w:proofErr w:type="spellEnd"/>
      <w:r w:rsidR="00BC15DF" w:rsidRPr="0066567F">
        <w:t xml:space="preserve"> is that groups must belong to the same cultural tradition (Phillips et al. 1951:223).  If types used in a </w:t>
      </w:r>
      <w:proofErr w:type="spellStart"/>
      <w:r w:rsidR="00BC15DF" w:rsidRPr="0066567F">
        <w:t>seriation</w:t>
      </w:r>
      <w:proofErr w:type="spellEnd"/>
      <w:r w:rsidR="00BC15DF" w:rsidRPr="0066567F">
        <w:t xml:space="preserve"> are constructed by two distinct groups occupying approximately the same space but not interacting, those two lineages will not create an order.  Therefore, </w:t>
      </w:r>
      <w:proofErr w:type="spellStart"/>
      <w:r w:rsidR="00BC15DF" w:rsidRPr="0066567F">
        <w:t>seriation</w:t>
      </w:r>
      <w:proofErr w:type="spellEnd"/>
      <w:r w:rsidR="00BC15DF" w:rsidRPr="0066567F">
        <w:t xml:space="preserve"> construction itself should allow the evaluation of whether groups belong to the same cultural tradition because “the application of the </w:t>
      </w:r>
      <w:proofErr w:type="spellStart"/>
      <w:r w:rsidR="00BC15DF" w:rsidRPr="0066567F">
        <w:t>seriation</w:t>
      </w:r>
      <w:proofErr w:type="spellEnd"/>
      <w:r w:rsidR="00BC15DF" w:rsidRPr="0066567F">
        <w:t xml:space="preserve"> model will create as many independent orders as there are lineages,” </w:t>
      </w:r>
      <w:r w:rsidR="00D07628">
        <w:t>(</w:t>
      </w:r>
      <w:proofErr w:type="spellStart"/>
      <w:r w:rsidR="00BC15DF" w:rsidRPr="00141F7B">
        <w:t>Dunnell</w:t>
      </w:r>
      <w:proofErr w:type="spellEnd"/>
      <w:r w:rsidR="00BC15DF" w:rsidRPr="00141F7B">
        <w:t xml:space="preserve"> 1970:313</w:t>
      </w:r>
      <w:r w:rsidR="00BC15DF" w:rsidRPr="0066567F">
        <w:t xml:space="preserve">).  </w:t>
      </w:r>
    </w:p>
    <w:p w:rsidR="00BC15DF" w:rsidRPr="0066567F" w:rsidRDefault="00BC15DF" w:rsidP="00BC15DF">
      <w:pPr>
        <w:spacing w:line="480" w:lineRule="auto"/>
        <w:ind w:firstLine="720"/>
      </w:pPr>
      <w:r w:rsidRPr="0066567F">
        <w:t xml:space="preserve">The third generalization to which </w:t>
      </w:r>
      <w:proofErr w:type="spellStart"/>
      <w:r w:rsidRPr="0066567F">
        <w:t>seriations</w:t>
      </w:r>
      <w:proofErr w:type="spellEnd"/>
      <w:r w:rsidRPr="0066567F">
        <w:t xml:space="preserve"> should comply is that all groups come from the same local area.  As a result, the groups incorporated in the </w:t>
      </w:r>
      <w:proofErr w:type="spellStart"/>
      <w:r w:rsidRPr="0066567F">
        <w:t>seriation</w:t>
      </w:r>
      <w:proofErr w:type="spellEnd"/>
      <w:r w:rsidRPr="0066567F">
        <w:t xml:space="preserve"> must be selected in such a manner as to not include variation in the spatial dimension.  Rouse (1967:178) defines a local area as “a clustering of sites within which it is reasonable to suppose there has been little geographic variation in culture.</w:t>
      </w:r>
      <w:r w:rsidR="00F25B31">
        <w:t>”</w:t>
      </w:r>
      <w:r w:rsidRPr="0066567F">
        <w:t xml:space="preserve">  </w:t>
      </w:r>
      <w:proofErr w:type="spellStart"/>
      <w:r w:rsidRPr="0066567F">
        <w:t>Deetz</w:t>
      </w:r>
      <w:proofErr w:type="spellEnd"/>
      <w:r w:rsidRPr="0066567F">
        <w:t xml:space="preserve"> and </w:t>
      </w:r>
      <w:proofErr w:type="spellStart"/>
      <w:r w:rsidRPr="0066567F">
        <w:t>Detlefson</w:t>
      </w:r>
      <w:proofErr w:type="spellEnd"/>
      <w:r w:rsidRPr="0066567F">
        <w:t xml:space="preserve"> (1965) have demonstrated that samples of known duration drawn from the same cultural tradition cannot be assumed to be homogeneous through the dimension of space at any given point in time.  In other words, space contributes variation that is inconsistent with the expectations of the chronological </w:t>
      </w:r>
      <w:proofErr w:type="spellStart"/>
      <w:r w:rsidRPr="0066567F">
        <w:t>seriation</w:t>
      </w:r>
      <w:proofErr w:type="spellEnd"/>
      <w:r w:rsidRPr="0066567F">
        <w:t xml:space="preserve"> model.  </w:t>
      </w:r>
    </w:p>
    <w:p w:rsidR="00BC15DF" w:rsidRPr="0066567F" w:rsidRDefault="00BC15DF" w:rsidP="00BC15DF">
      <w:pPr>
        <w:spacing w:line="480" w:lineRule="auto"/>
        <w:ind w:firstLine="720"/>
      </w:pPr>
      <w:r w:rsidRPr="0066567F">
        <w:t>These generalizations, particularly the local area rule, indicate a constant relationship between space an</w:t>
      </w:r>
      <w:r w:rsidR="00C17996">
        <w:t xml:space="preserve">d time in any given </w:t>
      </w:r>
      <w:proofErr w:type="spellStart"/>
      <w:r w:rsidR="00C17996">
        <w:t>seriation</w:t>
      </w:r>
      <w:proofErr w:type="spellEnd"/>
      <w:r w:rsidR="00C17996">
        <w:t xml:space="preserve">. </w:t>
      </w:r>
      <w:r w:rsidRPr="0066567F">
        <w:t xml:space="preserve">Therefore, chronological problems can result for the </w:t>
      </w:r>
      <w:proofErr w:type="spellStart"/>
      <w:r w:rsidRPr="0066567F">
        <w:t>seriation</w:t>
      </w:r>
      <w:proofErr w:type="spellEnd"/>
      <w:r w:rsidRPr="0066567F">
        <w:t xml:space="preserve"> model when types are constructed from variation that includes a spatial component.  The best way to control this is to construct classes</w:t>
      </w:r>
      <w:r w:rsidR="00F25B31">
        <w:t>,</w:t>
      </w:r>
      <w:r w:rsidRPr="0066567F">
        <w:t xml:space="preserve"> or measure variation that is variable over time </w:t>
      </w:r>
      <w:r w:rsidRPr="0066567F">
        <w:lastRenderedPageBreak/>
        <w:t>and less so over space, and to characterize the spatial distribution of a given lineage so that universally chronological forms are parsed from those that are only useful as chronological tools locally.</w:t>
      </w:r>
    </w:p>
    <w:p w:rsidR="00BC15DF" w:rsidRPr="00E13D6A" w:rsidRDefault="00BC15DF" w:rsidP="00BC15DF">
      <w:pPr>
        <w:spacing w:line="480" w:lineRule="auto"/>
        <w:ind w:firstLine="720"/>
        <w:rPr>
          <w:color w:val="FF0000"/>
        </w:rPr>
      </w:pPr>
      <w:r w:rsidRPr="0066567F">
        <w:t xml:space="preserve">The local area is technically the boundary of an interacting population, although in reality this is difficult to detect (e.g. </w:t>
      </w:r>
      <w:proofErr w:type="spellStart"/>
      <w:r w:rsidRPr="0066567F">
        <w:t>Conkey</w:t>
      </w:r>
      <w:proofErr w:type="spellEnd"/>
      <w:r w:rsidRPr="0066567F">
        <w:t xml:space="preserve"> 1990; </w:t>
      </w:r>
      <w:proofErr w:type="spellStart"/>
      <w:r w:rsidRPr="0066567F">
        <w:t>Lipo</w:t>
      </w:r>
      <w:proofErr w:type="spellEnd"/>
      <w:r w:rsidRPr="0066567F">
        <w:t xml:space="preserve"> 2001). Furthermore, different kinds of interactions or arrangements will be characterized by different spatial boundaries.  Deviations from the</w:t>
      </w:r>
      <w:r w:rsidR="002E4CFF">
        <w:t xml:space="preserve"> specified </w:t>
      </w:r>
      <w:proofErr w:type="spellStart"/>
      <w:r w:rsidR="002E4CFF">
        <w:t>seriation</w:t>
      </w:r>
      <w:proofErr w:type="spellEnd"/>
      <w:r w:rsidRPr="0066567F">
        <w:t xml:space="preserve"> requirements can provide information about spatial characteristics of interacting populations.  While chronological problems have been the primary focus of the application of </w:t>
      </w:r>
      <w:proofErr w:type="spellStart"/>
      <w:r w:rsidRPr="0066567F">
        <w:t>seriation</w:t>
      </w:r>
      <w:proofErr w:type="spellEnd"/>
      <w:r w:rsidRPr="0066567F">
        <w:t xml:space="preserve"> as a technique, the method itself is predicated on the mechanisms inherent in the transm</w:t>
      </w:r>
      <w:r w:rsidR="002E4CFF">
        <w:t xml:space="preserve">ission of cultural information </w:t>
      </w:r>
      <w:r w:rsidRPr="0066567F">
        <w:t xml:space="preserve">to structure variability in the archaeological record (discussed below).  Therefore, the method </w:t>
      </w:r>
      <w:proofErr w:type="spellStart"/>
      <w:r w:rsidRPr="0066567F">
        <w:t>seriation</w:t>
      </w:r>
      <w:proofErr w:type="spellEnd"/>
      <w:r w:rsidRPr="0066567F">
        <w:t xml:space="preserve"> is a distributional model that can be used to determine how information moves through a population, thus illustrating interaction </w:t>
      </w:r>
      <w:r w:rsidRPr="00141F7B">
        <w:t>(</w:t>
      </w:r>
      <w:proofErr w:type="spellStart"/>
      <w:r w:rsidRPr="00141F7B">
        <w:t>Lipo</w:t>
      </w:r>
      <w:proofErr w:type="spellEnd"/>
      <w:r w:rsidRPr="00141F7B">
        <w:t xml:space="preserve"> 2001; </w:t>
      </w:r>
      <w:proofErr w:type="spellStart"/>
      <w:r w:rsidRPr="00141F7B">
        <w:t>Lipo</w:t>
      </w:r>
      <w:proofErr w:type="spellEnd"/>
      <w:r w:rsidRPr="00141F7B">
        <w:t xml:space="preserve"> and Madsen 2001).</w:t>
      </w:r>
      <w:r w:rsidRPr="00E13D6A">
        <w:rPr>
          <w:color w:val="FF0000"/>
        </w:rPr>
        <w:t xml:space="preserve">  </w:t>
      </w:r>
    </w:p>
    <w:p w:rsidR="00BC15DF" w:rsidRPr="0066567F" w:rsidRDefault="00084396" w:rsidP="009A62FF">
      <w:pPr>
        <w:spacing w:line="480" w:lineRule="auto"/>
        <w:ind w:firstLine="720"/>
      </w:pPr>
      <w:r>
        <w:t>T</w:t>
      </w:r>
      <w:r w:rsidR="00BC15DF" w:rsidRPr="0066567F">
        <w:t>here are two analyzable compo</w:t>
      </w:r>
      <w:r w:rsidR="00B12312">
        <w:t xml:space="preserve">nents in the </w:t>
      </w:r>
      <w:proofErr w:type="spellStart"/>
      <w:r w:rsidR="00B12312">
        <w:t>seriation</w:t>
      </w:r>
      <w:proofErr w:type="spellEnd"/>
      <w:r w:rsidR="00B12312">
        <w:t xml:space="preserve"> </w:t>
      </w:r>
      <w:r w:rsidR="00A60BE1">
        <w:t>distributional model;</w:t>
      </w:r>
      <w:r w:rsidR="00B12312">
        <w:t xml:space="preserve"> </w:t>
      </w:r>
      <w:r w:rsidR="00BC15DF" w:rsidRPr="0066567F">
        <w:t>temporal and spatial (</w:t>
      </w:r>
      <w:proofErr w:type="spellStart"/>
      <w:r w:rsidR="00BC15DF" w:rsidRPr="0066567F">
        <w:t>Lipo</w:t>
      </w:r>
      <w:proofErr w:type="spellEnd"/>
      <w:r w:rsidR="00BC15DF" w:rsidRPr="0066567F">
        <w:t xml:space="preserve"> 2001:30).  The temporal component arises because transmission events take time (</w:t>
      </w:r>
      <w:proofErr w:type="spellStart"/>
      <w:r w:rsidR="00BC15DF" w:rsidRPr="0066567F">
        <w:t>Lipo</w:t>
      </w:r>
      <w:proofErr w:type="spellEnd"/>
      <w:r w:rsidR="00BC15DF" w:rsidRPr="0066567F">
        <w:t xml:space="preserve"> 2001:30).  Given that packets of information move from individual to individual in the spatial dimension, interaction events have a spatial component as well </w:t>
      </w:r>
      <w:r w:rsidR="00BC15DF" w:rsidRPr="00141F7B">
        <w:t>(</w:t>
      </w:r>
      <w:proofErr w:type="spellStart"/>
      <w:r w:rsidR="00BC15DF" w:rsidRPr="00141F7B">
        <w:t>Deetz</w:t>
      </w:r>
      <w:proofErr w:type="spellEnd"/>
      <w:r w:rsidR="00BC15DF" w:rsidRPr="00141F7B">
        <w:t xml:space="preserve"> and </w:t>
      </w:r>
      <w:proofErr w:type="spellStart"/>
      <w:r w:rsidR="00BC15DF" w:rsidRPr="00141F7B">
        <w:t>Detlefsen</w:t>
      </w:r>
      <w:proofErr w:type="spellEnd"/>
      <w:r w:rsidR="00BC15DF" w:rsidRPr="00141F7B">
        <w:t xml:space="preserve"> 1965; </w:t>
      </w:r>
      <w:proofErr w:type="spellStart"/>
      <w:r w:rsidR="00BC15DF" w:rsidRPr="00141F7B">
        <w:t>Lipo</w:t>
      </w:r>
      <w:proofErr w:type="spellEnd"/>
      <w:r w:rsidR="00BC15DF" w:rsidRPr="00141F7B">
        <w:t xml:space="preserve"> 2001:30).</w:t>
      </w:r>
      <w:r w:rsidR="00BC15DF" w:rsidRPr="0066567F">
        <w:t xml:space="preserve">  The movement of </w:t>
      </w:r>
      <w:proofErr w:type="spellStart"/>
      <w:r w:rsidR="00BC15DF" w:rsidRPr="0066567F">
        <w:t>memetic</w:t>
      </w:r>
      <w:proofErr w:type="spellEnd"/>
      <w:r w:rsidR="00BC15DF" w:rsidRPr="0066567F">
        <w:t xml:space="preserve"> templates for </w:t>
      </w:r>
      <w:proofErr w:type="spellStart"/>
      <w:r w:rsidR="00BC15DF" w:rsidRPr="0066567F">
        <w:t>Meidum</w:t>
      </w:r>
      <w:proofErr w:type="spellEnd"/>
      <w:r w:rsidR="00BC15DF" w:rsidRPr="0066567F">
        <w:t xml:space="preserve"> bowl manufacture through time and across </w:t>
      </w:r>
      <w:proofErr w:type="gramStart"/>
      <w:r w:rsidR="00BC15DF" w:rsidRPr="0066567F">
        <w:t>space,</w:t>
      </w:r>
      <w:proofErr w:type="gramEnd"/>
      <w:r w:rsidR="00BC15DF" w:rsidRPr="0066567F">
        <w:t xml:space="preserve"> therefore will reflect the geographic scale of factors active in reproducing that template.  </w:t>
      </w:r>
    </w:p>
    <w:p w:rsidR="00BC15DF" w:rsidRPr="0066567F" w:rsidRDefault="00BC15DF" w:rsidP="00BC15DF">
      <w:pPr>
        <w:spacing w:line="480" w:lineRule="auto"/>
        <w:rPr>
          <w:i/>
        </w:rPr>
      </w:pPr>
      <w:r w:rsidRPr="0066567F">
        <w:rPr>
          <w:i/>
        </w:rPr>
        <w:t>Cultural Transmission and Standardization</w:t>
      </w:r>
    </w:p>
    <w:p w:rsidR="00BC15DF" w:rsidRPr="0066567F" w:rsidRDefault="00BC15DF" w:rsidP="00BC15DF">
      <w:pPr>
        <w:tabs>
          <w:tab w:val="left" w:pos="-1080"/>
          <w:tab w:val="left" w:pos="-720"/>
          <w:tab w:val="left" w:pos="0"/>
          <w:tab w:val="left" w:pos="450"/>
        </w:tabs>
        <w:spacing w:line="480" w:lineRule="auto"/>
      </w:pPr>
      <w:r w:rsidRPr="0066567F">
        <w:tab/>
      </w:r>
      <w:r w:rsidRPr="0066567F">
        <w:tab/>
        <w:t xml:space="preserve">The distance between transmitters and receivers of cultural information is affected by temporal and spatial factors </w:t>
      </w:r>
      <w:r w:rsidRPr="00141F7B">
        <w:t>(</w:t>
      </w:r>
      <w:proofErr w:type="spellStart"/>
      <w:r w:rsidRPr="00141F7B">
        <w:t>Dunell</w:t>
      </w:r>
      <w:proofErr w:type="spellEnd"/>
      <w:r w:rsidRPr="00141F7B">
        <w:t xml:space="preserve"> 1970</w:t>
      </w:r>
      <w:r w:rsidR="00356CF8">
        <w:t xml:space="preserve">; </w:t>
      </w:r>
      <w:r w:rsidRPr="00B8407D">
        <w:t>Neiman 1995</w:t>
      </w:r>
      <w:r w:rsidR="00B8407D">
        <w:t>).</w:t>
      </w:r>
      <w:r w:rsidRPr="0066567F">
        <w:t xml:space="preserve">  Transmitters are more likely to </w:t>
      </w:r>
      <w:r w:rsidRPr="0066567F">
        <w:lastRenderedPageBreak/>
        <w:t>introduce generated traits for sorting by receivers if they are closer in time or space.  How variation is sorted indicates empirical or historical phenomena that influence sorting; such as ec</w:t>
      </w:r>
      <w:r w:rsidR="00C17996">
        <w:t>onomic or environmental issues</w:t>
      </w:r>
      <w:r w:rsidRPr="0066567F">
        <w:t>. Interaction between Old Kingdom communities will be identified via the geographic distribution of lineages</w:t>
      </w:r>
      <w:r w:rsidR="0094306F">
        <w:t>; the scale of sorting will roughly encompass interactive economic space</w:t>
      </w:r>
      <w:r w:rsidRPr="0066567F">
        <w:t xml:space="preserve">.  Mass production will result in lineages exhibiting regional scale similarity across </w:t>
      </w:r>
      <w:proofErr w:type="spellStart"/>
      <w:r w:rsidRPr="0066567F">
        <w:t>Meidum</w:t>
      </w:r>
      <w:proofErr w:type="spellEnd"/>
      <w:r w:rsidRPr="0066567F">
        <w:t xml:space="preserve"> vessel attributes that reflect transmission. </w:t>
      </w:r>
    </w:p>
    <w:p w:rsidR="00BC15DF" w:rsidRDefault="00BC15DF" w:rsidP="00BC15DF">
      <w:pPr>
        <w:tabs>
          <w:tab w:val="left" w:pos="-1080"/>
          <w:tab w:val="left" w:pos="-720"/>
          <w:tab w:val="left" w:pos="0"/>
          <w:tab w:val="left" w:pos="450"/>
        </w:tabs>
        <w:spacing w:line="480" w:lineRule="auto"/>
      </w:pPr>
      <w:r w:rsidRPr="0066567F">
        <w:tab/>
      </w:r>
      <w:r w:rsidRPr="0066567F">
        <w:tab/>
      </w:r>
      <w:r w:rsidRPr="00B8407D">
        <w:t>Clarke (1968:156)</w:t>
      </w:r>
      <w:r w:rsidRPr="00E13D6A">
        <w:rPr>
          <w:color w:val="FF0000"/>
        </w:rPr>
        <w:t xml:space="preserve"> </w:t>
      </w:r>
      <w:r w:rsidRPr="0066567F">
        <w:t>defines an artifact attribute as “an irreducible cha</w:t>
      </w:r>
      <w:r w:rsidR="002E4CFF">
        <w:t xml:space="preserve">racter of two or more states.” </w:t>
      </w:r>
      <w:r w:rsidRPr="0066567F">
        <w:t xml:space="preserve">Clarke further notes that “each attribute is equivalent to a piece of premeditated and deliberate </w:t>
      </w:r>
      <w:r w:rsidR="00ED2185">
        <w:t xml:space="preserve">hominid behavior” (1968:156).  </w:t>
      </w:r>
      <w:r w:rsidRPr="0066567F">
        <w:t>Standardization can be characterized as resulting from an intentional effort to replicate attributes with precision. The identification of standardized attributes is thus a measure of the fidelity with whi</w:t>
      </w:r>
      <w:r w:rsidR="000F0103">
        <w:t>ch an attribute is reproduced. Several standardized attributes form the general basis for artifact “types.”</w:t>
      </w:r>
    </w:p>
    <w:p w:rsidR="00B33E97" w:rsidRDefault="000F0103" w:rsidP="00BC15DF">
      <w:pPr>
        <w:tabs>
          <w:tab w:val="left" w:pos="-1080"/>
          <w:tab w:val="left" w:pos="-720"/>
          <w:tab w:val="left" w:pos="0"/>
          <w:tab w:val="left" w:pos="450"/>
        </w:tabs>
        <w:spacing w:line="480" w:lineRule="auto"/>
      </w:pPr>
      <w:r>
        <w:tab/>
        <w:t>Arti</w:t>
      </w:r>
      <w:r w:rsidR="00B33E97">
        <w:t>fact “t</w:t>
      </w:r>
      <w:r w:rsidR="00B33E97" w:rsidRPr="00256BCC">
        <w:t>ypes</w:t>
      </w:r>
      <w:r w:rsidR="00B33E97">
        <w:t>”</w:t>
      </w:r>
      <w:r w:rsidR="00B33E97" w:rsidRPr="00256BCC">
        <w:t xml:space="preserve"> can be defined as “a pattern of artifact characteristics </w:t>
      </w:r>
      <w:r>
        <w:t xml:space="preserve">(attributes) </w:t>
      </w:r>
      <w:r w:rsidR="00B33E97" w:rsidRPr="00256BCC">
        <w:t xml:space="preserve">which constantly recurs on a given kind of artifact…the result of conformity by the artisans to a cultural standard…” </w:t>
      </w:r>
      <w:proofErr w:type="gramStart"/>
      <w:r w:rsidR="00B33E97" w:rsidRPr="00256BCC">
        <w:t>(</w:t>
      </w:r>
      <w:r w:rsidR="00B8407D" w:rsidRPr="00B8407D">
        <w:t>Rouse 1967</w:t>
      </w:r>
      <w:r w:rsidR="00B33E97" w:rsidRPr="00B8407D">
        <w:t>:18).</w:t>
      </w:r>
      <w:proofErr w:type="gramEnd"/>
      <w:r w:rsidR="00B33E97" w:rsidRPr="00256BCC">
        <w:t xml:space="preserve"> </w:t>
      </w:r>
      <w:r w:rsidR="00B33E97">
        <w:t xml:space="preserve">In a pottery workshop, individuals presumably implicitly share ideas about how particular vessel forms should appear, and expected standards thus become the basis for the “types” that archaeologists identify in ceramic assemblages. </w:t>
      </w:r>
      <w:r w:rsidR="00B33E97" w:rsidRPr="00256BCC">
        <w:t>This definition implies that types are readily recognizable because artisans are intentionally trying to reproduce a cultural norm</w:t>
      </w:r>
      <w:r w:rsidR="00B33E97">
        <w:t>,</w:t>
      </w:r>
      <w:r w:rsidR="00B33E97" w:rsidRPr="00256BCC">
        <w:t xml:space="preserve"> which can be considered equivalent to a “meme” (</w:t>
      </w:r>
      <w:proofErr w:type="spellStart"/>
      <w:r w:rsidR="00B33E97" w:rsidRPr="00256BCC">
        <w:t>Eerkens</w:t>
      </w:r>
      <w:proofErr w:type="spellEnd"/>
      <w:r w:rsidR="00B33E97" w:rsidRPr="00256BCC">
        <w:t xml:space="preserve"> and </w:t>
      </w:r>
      <w:proofErr w:type="spellStart"/>
      <w:r w:rsidR="00B33E97" w:rsidRPr="00256BCC">
        <w:t>Lipo</w:t>
      </w:r>
      <w:proofErr w:type="spellEnd"/>
      <w:r w:rsidR="00B33E97" w:rsidRPr="00256BCC">
        <w:t xml:space="preserve"> 2007:</w:t>
      </w:r>
      <w:r w:rsidR="00B33E97">
        <w:t xml:space="preserve"> </w:t>
      </w:r>
      <w:r w:rsidR="00B33E97" w:rsidRPr="00256BCC">
        <w:t>245).</w:t>
      </w:r>
      <w:r w:rsidR="00B33E97">
        <w:t xml:space="preserve"> </w:t>
      </w:r>
    </w:p>
    <w:p w:rsidR="002E4CFF" w:rsidRDefault="00A51B00" w:rsidP="00BC15DF">
      <w:pPr>
        <w:tabs>
          <w:tab w:val="left" w:pos="-1080"/>
          <w:tab w:val="left" w:pos="-720"/>
          <w:tab w:val="left" w:pos="0"/>
          <w:tab w:val="left" w:pos="450"/>
        </w:tabs>
        <w:spacing w:line="480" w:lineRule="auto"/>
      </w:pPr>
      <w:r>
        <w:tab/>
        <w:t xml:space="preserve">Rouse’s definition, however, suggests that “types” are more hypothetical, than they are empirical. When we look at </w:t>
      </w:r>
      <w:r w:rsidR="00B45BB8">
        <w:t xml:space="preserve">a ceramic assemblage, what we are seeing the manifestation of the efforts of individual artisans to replicate </w:t>
      </w:r>
      <w:r w:rsidR="00584B7C">
        <w:t xml:space="preserve">a cultural standard. Because individual artisans have </w:t>
      </w:r>
      <w:r w:rsidR="00584B7C">
        <w:lastRenderedPageBreak/>
        <w:t>individual limitations on their ability to do so, the end product across artisa</w:t>
      </w:r>
      <w:r w:rsidR="002E4CFF">
        <w:t>ns will reflect certain “quirks</w:t>
      </w:r>
      <w:r w:rsidR="00584B7C">
        <w:t>”</w:t>
      </w:r>
      <w:r w:rsidR="002E4CFF">
        <w:t xml:space="preserve"> or physical limitations of the artisan. </w:t>
      </w:r>
    </w:p>
    <w:p w:rsidR="00BC15DF" w:rsidRPr="0066567F" w:rsidRDefault="00BC15DF" w:rsidP="00BC15DF">
      <w:pPr>
        <w:tabs>
          <w:tab w:val="left" w:pos="-1080"/>
          <w:tab w:val="left" w:pos="-720"/>
          <w:tab w:val="left" w:pos="0"/>
          <w:tab w:val="left" w:pos="450"/>
        </w:tabs>
        <w:spacing w:line="480" w:lineRule="auto"/>
      </w:pPr>
      <w:r w:rsidRPr="0066567F">
        <w:tab/>
      </w:r>
      <w:r w:rsidRPr="0066567F">
        <w:tab/>
      </w:r>
      <w:r w:rsidRPr="0066567F">
        <w:rPr>
          <w:snapToGrid w:val="0"/>
          <w:color w:val="000000"/>
        </w:rPr>
        <w:t xml:space="preserve">Several authors </w:t>
      </w:r>
      <w:r w:rsidRPr="00D60C67">
        <w:rPr>
          <w:snapToGrid w:val="0"/>
        </w:rPr>
        <w:t>(e.g. Allen 1996; Close 1989;</w:t>
      </w:r>
      <w:r w:rsidRPr="00915F3A">
        <w:rPr>
          <w:snapToGrid w:val="0"/>
          <w:color w:val="FF0000"/>
        </w:rPr>
        <w:t xml:space="preserve"> </w:t>
      </w:r>
      <w:proofErr w:type="spellStart"/>
      <w:r w:rsidRPr="00D60C67">
        <w:rPr>
          <w:snapToGrid w:val="0"/>
        </w:rPr>
        <w:t>Dunnell</w:t>
      </w:r>
      <w:proofErr w:type="spellEnd"/>
      <w:r w:rsidRPr="00D60C67">
        <w:rPr>
          <w:snapToGrid w:val="0"/>
        </w:rPr>
        <w:t xml:space="preserve"> 1978a;</w:t>
      </w:r>
      <w:r w:rsidRPr="00915F3A">
        <w:rPr>
          <w:snapToGrid w:val="0"/>
          <w:color w:val="FF0000"/>
        </w:rPr>
        <w:t xml:space="preserve"> </w:t>
      </w:r>
      <w:r w:rsidRPr="00D60C67">
        <w:rPr>
          <w:snapToGrid w:val="0"/>
        </w:rPr>
        <w:t xml:space="preserve">papers in Hunt et al. 2001; papers in Hurt and </w:t>
      </w:r>
      <w:proofErr w:type="spellStart"/>
      <w:r w:rsidRPr="00D60C67">
        <w:rPr>
          <w:snapToGrid w:val="0"/>
        </w:rPr>
        <w:t>Rakita</w:t>
      </w:r>
      <w:proofErr w:type="spellEnd"/>
      <w:r w:rsidRPr="00D60C67">
        <w:rPr>
          <w:snapToGrid w:val="0"/>
        </w:rPr>
        <w:t xml:space="preserve"> 2001;</w:t>
      </w:r>
      <w:r w:rsidRPr="00915F3A">
        <w:rPr>
          <w:snapToGrid w:val="0"/>
          <w:color w:val="FF0000"/>
        </w:rPr>
        <w:t xml:space="preserve"> </w:t>
      </w:r>
      <w:proofErr w:type="spellStart"/>
      <w:r w:rsidRPr="00D60C67">
        <w:rPr>
          <w:snapToGrid w:val="0"/>
        </w:rPr>
        <w:t>Wenke</w:t>
      </w:r>
      <w:proofErr w:type="spellEnd"/>
      <w:r w:rsidRPr="00D60C67">
        <w:rPr>
          <w:snapToGrid w:val="0"/>
        </w:rPr>
        <w:t xml:space="preserve"> 1997)</w:t>
      </w:r>
      <w:r w:rsidRPr="0066567F">
        <w:rPr>
          <w:snapToGrid w:val="0"/>
          <w:color w:val="000000"/>
        </w:rPr>
        <w:t xml:space="preserve"> have argued that neutral or stylistic traits should be parsed from non-neutral traits when comparing artifact type frequencies across assemblages. Distributions of functional traits over time and space are largely indicative of the environmental requirements of artifact performance (e.g. </w:t>
      </w:r>
      <w:r w:rsidRPr="00D92C02">
        <w:rPr>
          <w:snapToGrid w:val="0"/>
        </w:rPr>
        <w:t>Feathers 1990;</w:t>
      </w:r>
      <w:r w:rsidRPr="00915F3A">
        <w:rPr>
          <w:snapToGrid w:val="0"/>
          <w:color w:val="FF0000"/>
        </w:rPr>
        <w:t xml:space="preserve"> </w:t>
      </w:r>
      <w:r w:rsidRPr="00D92C02">
        <w:rPr>
          <w:snapToGrid w:val="0"/>
        </w:rPr>
        <w:t>Neff 1992; O’Brien et al. 1994).</w:t>
      </w:r>
      <w:r w:rsidRPr="0066567F">
        <w:rPr>
          <w:snapToGrid w:val="0"/>
          <w:color w:val="000000"/>
        </w:rPr>
        <w:t xml:space="preserve">  As such, traits relating to vessel performance or some engineering requirement relating to construction will be transmitted with much greater fidelity than those attributes that do not relate to artifact performance.  </w:t>
      </w:r>
    </w:p>
    <w:p w:rsidR="00BC15DF" w:rsidRPr="0066567F" w:rsidRDefault="00BC15DF" w:rsidP="00BC15DF">
      <w:pPr>
        <w:tabs>
          <w:tab w:val="left" w:pos="-1080"/>
          <w:tab w:val="left" w:pos="-720"/>
          <w:tab w:val="left" w:pos="0"/>
          <w:tab w:val="left" w:pos="450"/>
        </w:tabs>
        <w:spacing w:line="480" w:lineRule="auto"/>
      </w:pPr>
      <w:r w:rsidRPr="0066567F">
        <w:tab/>
      </w:r>
      <w:r w:rsidRPr="0066567F">
        <w:tab/>
        <w:t>Transmission theory (</w:t>
      </w:r>
      <w:proofErr w:type="spellStart"/>
      <w:r w:rsidRPr="00D92C02">
        <w:rPr>
          <w:i/>
        </w:rPr>
        <w:t>sensu</w:t>
      </w:r>
      <w:proofErr w:type="spellEnd"/>
      <w:r w:rsidRPr="00D92C02">
        <w:rPr>
          <w:i/>
        </w:rPr>
        <w:t xml:space="preserve"> </w:t>
      </w:r>
      <w:r w:rsidRPr="00D92C02">
        <w:t xml:space="preserve">Boyd and </w:t>
      </w:r>
      <w:proofErr w:type="spellStart"/>
      <w:r w:rsidRPr="00D92C02">
        <w:t>Richerson</w:t>
      </w:r>
      <w:proofErr w:type="spellEnd"/>
      <w:r w:rsidRPr="00D92C02">
        <w:t xml:space="preserve"> 1985) </w:t>
      </w:r>
      <w:r w:rsidRPr="0066567F">
        <w:t>is predicated on the idea that certain patterns of variation in particular cultural phenomena through time inform as t</w:t>
      </w:r>
      <w:r w:rsidR="00DE04F9">
        <w:t xml:space="preserve">o how they came to be similar. </w:t>
      </w:r>
      <w:r w:rsidRPr="0066567F">
        <w:t xml:space="preserve">A strong degree of morphological, technological and stylistic similarity in pottery types is a commonly used indication of craft standardization.  In terms of transmission theory, observations of standardization are a function of the fidelity with which “memes” for the manufacture of pottery vessels are repeated through a given community of potters.  To better understand the relationship between cultural transmission and craft specialization, it is important to discuss fidelity in </w:t>
      </w:r>
      <w:proofErr w:type="spellStart"/>
      <w:r w:rsidRPr="0066567F">
        <w:t>memetic</w:t>
      </w:r>
      <w:proofErr w:type="spellEnd"/>
      <w:r w:rsidRPr="0066567F">
        <w:t xml:space="preserve"> transmission.  </w:t>
      </w:r>
    </w:p>
    <w:p w:rsidR="00BC15DF" w:rsidRPr="0066567F" w:rsidRDefault="00BC15DF" w:rsidP="00BC15DF">
      <w:pPr>
        <w:tabs>
          <w:tab w:val="left" w:pos="-1080"/>
          <w:tab w:val="left" w:pos="-720"/>
          <w:tab w:val="left" w:pos="0"/>
          <w:tab w:val="left" w:pos="450"/>
        </w:tabs>
        <w:spacing w:line="480" w:lineRule="auto"/>
      </w:pPr>
      <w:r w:rsidRPr="0066567F">
        <w:tab/>
      </w:r>
      <w:r w:rsidRPr="0066567F">
        <w:tab/>
        <w:t xml:space="preserve">A meme is a packet of information described as being the cultural equivalent of a gene, but without the observable </w:t>
      </w:r>
      <w:proofErr w:type="spellStart"/>
      <w:r w:rsidRPr="0066567F">
        <w:t>boundedness</w:t>
      </w:r>
      <w:proofErr w:type="spellEnd"/>
      <w:r w:rsidRPr="0066567F">
        <w:t xml:space="preserve"> manifested by a gene (</w:t>
      </w:r>
      <w:r w:rsidRPr="00CD02AD">
        <w:t>Dawkins 1976:68, 1982</w:t>
      </w:r>
      <w:r w:rsidRPr="0066567F">
        <w:t xml:space="preserve">).    Dawkins describes the meme as a non-genetic kind of replicator of information residing in the brain. Memes have no empirical component, and thus can only be studied in terms of their effects on the phenotype of the individual bearing them. </w:t>
      </w:r>
    </w:p>
    <w:p w:rsidR="00BC15DF" w:rsidRPr="0066567F" w:rsidRDefault="00BC15DF" w:rsidP="000F0103">
      <w:pPr>
        <w:spacing w:line="480" w:lineRule="auto"/>
        <w:ind w:firstLine="720"/>
      </w:pPr>
      <w:r w:rsidRPr="005301D4">
        <w:lastRenderedPageBreak/>
        <w:t xml:space="preserve"> Hull</w:t>
      </w:r>
      <w:r w:rsidR="00A738F2" w:rsidRPr="005301D4">
        <w:t xml:space="preserve"> (2001</w:t>
      </w:r>
      <w:r w:rsidR="000F0103" w:rsidRPr="005301D4">
        <w:t>:34)</w:t>
      </w:r>
      <w:r w:rsidR="000F0103" w:rsidRPr="00E13D6A">
        <w:rPr>
          <w:color w:val="FF0000"/>
        </w:rPr>
        <w:t xml:space="preserve"> </w:t>
      </w:r>
      <w:r w:rsidR="000F0103">
        <w:t xml:space="preserve">describes </w:t>
      </w:r>
      <w:r w:rsidRPr="0066567F">
        <w:t xml:space="preserve">a meme </w:t>
      </w:r>
      <w:r w:rsidR="000F0103">
        <w:t xml:space="preserve">as </w:t>
      </w:r>
      <w:r w:rsidRPr="0066567F">
        <w:t xml:space="preserve">the code for </w:t>
      </w:r>
      <w:r w:rsidR="000F0103">
        <w:t xml:space="preserve">replicating the characteristic. </w:t>
      </w:r>
      <w:r w:rsidRPr="0066567F">
        <w:t>Thus a meme can be best considered as “… the largest units of socially transmitted information that (can) reliably and repeatedly withstand transmission” (</w:t>
      </w:r>
      <w:proofErr w:type="spellStart"/>
      <w:r w:rsidRPr="005301D4">
        <w:t>Pocklington</w:t>
      </w:r>
      <w:proofErr w:type="spellEnd"/>
      <w:r w:rsidRPr="005301D4">
        <w:t xml:space="preserve"> and Best 1999:389</w:t>
      </w:r>
      <w:r w:rsidRPr="0066567F">
        <w:t xml:space="preserve">).  While some baulk at this approach as being reductionist (i.e. Gatherer and </w:t>
      </w:r>
      <w:proofErr w:type="spellStart"/>
      <w:r w:rsidRPr="0066567F">
        <w:t>McEwan</w:t>
      </w:r>
      <w:proofErr w:type="spellEnd"/>
      <w:r w:rsidRPr="0066567F">
        <w:t xml:space="preserve"> 1998), </w:t>
      </w:r>
      <w:proofErr w:type="spellStart"/>
      <w:r w:rsidRPr="0066567F">
        <w:t>Pocklington</w:t>
      </w:r>
      <w:proofErr w:type="spellEnd"/>
      <w:r w:rsidRPr="0066567F">
        <w:t xml:space="preserve"> and Best (1997:80)  argue that “…a useful theory of cultural </w:t>
      </w:r>
      <w:proofErr w:type="spellStart"/>
      <w:r w:rsidRPr="0066567F">
        <w:t>evolution</w:t>
      </w:r>
      <w:proofErr w:type="spellEnd"/>
      <w:r w:rsidRPr="0066567F">
        <w:t xml:space="preserve"> will necessarily use methodological reductionist techniques in order to reduce the complex dynamics of the cultural evolutionary process into operational and tractable parts.”  The form these parts take depends on the nature of the question posed.  The phenotypic expression of the meme might be in the form of words, music, </w:t>
      </w:r>
      <w:proofErr w:type="gramStart"/>
      <w:r w:rsidRPr="0066567F">
        <w:t>hand</w:t>
      </w:r>
      <w:proofErr w:type="gramEnd"/>
      <w:r w:rsidRPr="0066567F">
        <w:t xml:space="preserve"> gestures, styles of clothes or </w:t>
      </w:r>
      <w:r w:rsidR="00207116">
        <w:t xml:space="preserve">design templates for ceramic vessels </w:t>
      </w:r>
      <w:r w:rsidRPr="0066567F">
        <w:t>(</w:t>
      </w:r>
      <w:r w:rsidRPr="005301D4">
        <w:t>Dawkins 1976, 1982:109</w:t>
      </w:r>
      <w:r w:rsidRPr="0066567F">
        <w:t xml:space="preserve">, </w:t>
      </w:r>
      <w:proofErr w:type="spellStart"/>
      <w:r w:rsidRPr="0066567F">
        <w:t>Pocklington</w:t>
      </w:r>
      <w:proofErr w:type="spellEnd"/>
      <w:r w:rsidRPr="0066567F">
        <w:t xml:space="preserve"> and Best 1997:80).  </w:t>
      </w:r>
    </w:p>
    <w:p w:rsidR="00BC15DF" w:rsidRPr="0066567F" w:rsidRDefault="00BC15DF" w:rsidP="00BC15DF">
      <w:pPr>
        <w:spacing w:line="480" w:lineRule="auto"/>
        <w:ind w:firstLine="720"/>
      </w:pPr>
      <w:r w:rsidRPr="0066567F">
        <w:t xml:space="preserve"> For the purposes of this study, therefore, information for manufacturing pottery vessels is the manifestation of a “meme.” Memes are equivalent to genes in the sense that they contain a set of instructions that are represented by phenotypic expressions, with the possible difference that </w:t>
      </w:r>
      <w:proofErr w:type="spellStart"/>
      <w:r w:rsidRPr="0066567F">
        <w:t>memetic</w:t>
      </w:r>
      <w:proofErr w:type="spellEnd"/>
      <w:r w:rsidRPr="0066567F">
        <w:t xml:space="preserve"> expressions are not tied to particular organisms. Memes are transmitted in the same fashion as genetic material, in that variation is introduced and subsequently either replicated or not replicated.  The rate of transmission and sorting is much faster than that usually observed in genetic evolution because </w:t>
      </w:r>
      <w:proofErr w:type="spellStart"/>
      <w:r w:rsidRPr="0066567F">
        <w:t>memetic</w:t>
      </w:r>
      <w:proofErr w:type="spellEnd"/>
      <w:r w:rsidRPr="0066567F">
        <w:t xml:space="preserve"> generations are simply each time a particular idea is reproduced in a population.  In other words, a generation is the time elapsed from the time the meme is introduced until the time the meme is reproduced in a population (Hull 2001:36).  Several replication and introduction events can take place over the lifetime of an organism such that, for example, “… in the course of his biological lifetime, a geometry teacher may replicate the Pythagorean </w:t>
      </w:r>
      <w:proofErr w:type="gramStart"/>
      <w:r w:rsidRPr="0066567F">
        <w:t>theorem</w:t>
      </w:r>
      <w:proofErr w:type="gramEnd"/>
      <w:r w:rsidRPr="0066567F">
        <w:t xml:space="preserve"> hundreds of times” (Hull 2001:36).  </w:t>
      </w:r>
    </w:p>
    <w:p w:rsidR="00E94263" w:rsidRDefault="00BC15DF" w:rsidP="00BC15DF">
      <w:pPr>
        <w:spacing w:line="480" w:lineRule="auto"/>
        <w:ind w:firstLine="720"/>
      </w:pPr>
      <w:r w:rsidRPr="0066567F">
        <w:lastRenderedPageBreak/>
        <w:t xml:space="preserve">It is a somewhat overlooked aspect of </w:t>
      </w:r>
      <w:proofErr w:type="spellStart"/>
      <w:r w:rsidRPr="0066567F">
        <w:t>Dawkin’s</w:t>
      </w:r>
      <w:proofErr w:type="spellEnd"/>
      <w:r w:rsidRPr="0066567F">
        <w:t xml:space="preserve"> initial formulation that there is no necessary relationship between genetic fitness and the persistence of a meme in a population (and this holds for genes as well) (Dawkins 1982:111).  </w:t>
      </w:r>
      <w:proofErr w:type="spellStart"/>
      <w:r w:rsidR="00E54A13">
        <w:t>M</w:t>
      </w:r>
      <w:r w:rsidRPr="0066567F">
        <w:t>emetic</w:t>
      </w:r>
      <w:proofErr w:type="spellEnd"/>
      <w:r w:rsidRPr="0066567F">
        <w:t xml:space="preserve"> “fitness” is related to how often a particular meme is reproduced in a population (Dawkins 1982:111).  Because memes can be reproduced by a variety of replicators (parents, schools, books, computers etc), they are not directly tied to any biological organism except in the sense that a meme originates in the brain of an individual.  </w:t>
      </w:r>
    </w:p>
    <w:p w:rsidR="00BC15DF" w:rsidRPr="0066567F" w:rsidRDefault="00BC15DF" w:rsidP="00BC15DF">
      <w:pPr>
        <w:spacing w:line="480" w:lineRule="auto"/>
        <w:ind w:firstLine="720"/>
      </w:pPr>
      <w:r w:rsidRPr="0066567F">
        <w:t>The nature of the meme is necessarily fluid and uns</w:t>
      </w:r>
      <w:r w:rsidR="00E94263">
        <w:t xml:space="preserve">tructured </w:t>
      </w:r>
      <w:r w:rsidRPr="0066567F">
        <w:t>and this will impact how closely a replicated trait will resemble its “parent” trait (</w:t>
      </w:r>
      <w:r w:rsidRPr="005301D4">
        <w:t>Dawkins 1982:109)</w:t>
      </w:r>
      <w:r w:rsidRPr="0066567F">
        <w:t>.  DNA guarantees a certain amount of trait fidelity across generations because the incidence of random mutations (displacement of base-pairs) is relatively low (</w:t>
      </w:r>
      <w:r w:rsidRPr="005301D4">
        <w:t>Dawkins 1982:112).</w:t>
      </w:r>
      <w:r w:rsidRPr="0066567F">
        <w:t xml:space="preserve">  Catastrophic mutations such as any which kill the organism before it </w:t>
      </w:r>
      <w:proofErr w:type="gramStart"/>
      <w:r w:rsidRPr="0066567F">
        <w:t>matures,</w:t>
      </w:r>
      <w:proofErr w:type="gramEnd"/>
      <w:r w:rsidRPr="0066567F">
        <w:t xml:space="preserve"> do not persist simply because they kill the vehicle that could reproduce them before it does so.  Cultural traits or memes have far fewer constraints and because memes do not necessarily have any direct impact on fitness, both </w:t>
      </w:r>
      <w:proofErr w:type="gramStart"/>
      <w:r w:rsidRPr="0066567F">
        <w:t>performance</w:t>
      </w:r>
      <w:proofErr w:type="gramEnd"/>
      <w:r w:rsidRPr="0066567F">
        <w:t xml:space="preserve"> related and non-performance related traits are much freer to vary in general.  </w:t>
      </w:r>
    </w:p>
    <w:p w:rsidR="00BC15DF" w:rsidRPr="0066567F" w:rsidRDefault="00BC15DF" w:rsidP="00E94263">
      <w:pPr>
        <w:spacing w:line="480" w:lineRule="auto"/>
      </w:pPr>
      <w:r w:rsidRPr="0066567F">
        <w:t xml:space="preserve">Fidelity thus refers to the precision with which the meme is replicated by learners or imitators in the population.  If one accepts the notion of the code for manufacturing </w:t>
      </w:r>
      <w:proofErr w:type="spellStart"/>
      <w:r w:rsidRPr="0066567F">
        <w:t>Meidum</w:t>
      </w:r>
      <w:proofErr w:type="spellEnd"/>
      <w:r w:rsidRPr="0066567F">
        <w:t xml:space="preserve"> bowls as a meme, fidelity of transmission is indicated by relative isomorphism across measured attributes of studied objects.  </w:t>
      </w:r>
    </w:p>
    <w:p w:rsidR="00BC15DF" w:rsidRPr="0066567F" w:rsidRDefault="00BC15DF" w:rsidP="00BC15DF">
      <w:pPr>
        <w:spacing w:line="480" w:lineRule="auto"/>
        <w:ind w:firstLine="720"/>
      </w:pPr>
      <w:r w:rsidRPr="0066567F">
        <w:t>Two kinds of factors constrain the replication of artifact attributes, depending on the role the attribute plays in artifact function.  The first of these can be referred to as “guided” or “functional” variation, wherein attributes are replicated according to their ability to perform some sort of task (</w:t>
      </w:r>
      <w:r w:rsidRPr="005301D4">
        <w:t xml:space="preserve">Beck 1998:25; Boyd and </w:t>
      </w:r>
      <w:proofErr w:type="spellStart"/>
      <w:r w:rsidRPr="005301D4">
        <w:t>Richerson</w:t>
      </w:r>
      <w:proofErr w:type="spellEnd"/>
      <w:r w:rsidRPr="005301D4">
        <w:t xml:space="preserve"> 1985; </w:t>
      </w:r>
      <w:proofErr w:type="spellStart"/>
      <w:r w:rsidRPr="005301D4">
        <w:t>Schiffer</w:t>
      </w:r>
      <w:proofErr w:type="spellEnd"/>
      <w:r w:rsidRPr="005301D4">
        <w:t xml:space="preserve"> and </w:t>
      </w:r>
      <w:proofErr w:type="spellStart"/>
      <w:r w:rsidRPr="005301D4">
        <w:t>Skibo</w:t>
      </w:r>
      <w:proofErr w:type="spellEnd"/>
      <w:r w:rsidRPr="005301D4">
        <w:t xml:space="preserve"> 1987:599).</w:t>
      </w:r>
      <w:r w:rsidRPr="0066567F">
        <w:t xml:space="preserve">  </w:t>
      </w:r>
      <w:r w:rsidRPr="0066567F">
        <w:lastRenderedPageBreak/>
        <w:t>Certain traits will persist over time simply because without them, the object will not be effective in the capacity for which it was constructed (</w:t>
      </w:r>
      <w:proofErr w:type="spellStart"/>
      <w:r w:rsidRPr="005301D4">
        <w:t>Schiffer</w:t>
      </w:r>
      <w:proofErr w:type="spellEnd"/>
      <w:r w:rsidRPr="005301D4">
        <w:t xml:space="preserve"> and </w:t>
      </w:r>
      <w:proofErr w:type="spellStart"/>
      <w:r w:rsidRPr="005301D4">
        <w:t>Skibo</w:t>
      </w:r>
      <w:proofErr w:type="spellEnd"/>
      <w:r w:rsidRPr="005301D4">
        <w:t xml:space="preserve"> 1987:599).</w:t>
      </w:r>
      <w:r w:rsidRPr="0066567F">
        <w:t xml:space="preserve">  While these traits do not affect actual biological fitness necessarily, they are sorted similarly in that some environmental need or c</w:t>
      </w:r>
      <w:r w:rsidR="008F2668">
        <w:t xml:space="preserve">omponent drives their frequency, </w:t>
      </w:r>
      <w:r w:rsidRPr="0066567F">
        <w:t xml:space="preserve">such that the replication of the attribute will increase as a result of the attribute enhancing performance under certain environmental circumstances.  The second force acting on artifact variation is </w:t>
      </w:r>
      <w:proofErr w:type="gramStart"/>
      <w:r w:rsidRPr="0066567F">
        <w:t>drift,</w:t>
      </w:r>
      <w:proofErr w:type="gramEnd"/>
      <w:r w:rsidRPr="0066567F">
        <w:t xml:space="preserve"> wherein the frequencies of traits appear to describe deterministic distributions through time, but frequencies are driven by sampling bias in the sense that one variant is replicated more often due to factors not related necessarily to performance (e.g. Neiman 1995).  </w:t>
      </w:r>
    </w:p>
    <w:p w:rsidR="00BC15DF" w:rsidRPr="0066567F" w:rsidRDefault="00BC15DF" w:rsidP="00BC15DF">
      <w:pPr>
        <w:spacing w:line="480" w:lineRule="auto"/>
        <w:ind w:firstLine="720"/>
      </w:pPr>
      <w:r w:rsidRPr="0066567F">
        <w:t xml:space="preserve">Attributes exhibiting a great deal of transmission fidelity are more likely related to function, insofar as they can be demonstrated to reflect variation related to intention.  </w:t>
      </w:r>
      <w:proofErr w:type="gramStart"/>
      <w:r w:rsidR="00EF0EDC">
        <w:t>All things being equal, t</w:t>
      </w:r>
      <w:r w:rsidRPr="0066567F">
        <w:t xml:space="preserve">he less “distance” (Euclidean or some equivalent) between measurements of objects, the higher the fidelity of </w:t>
      </w:r>
      <w:proofErr w:type="spellStart"/>
      <w:r w:rsidRPr="0066567F">
        <w:t>memetic</w:t>
      </w:r>
      <w:proofErr w:type="spellEnd"/>
      <w:r w:rsidRPr="0066567F">
        <w:t xml:space="preserve"> </w:t>
      </w:r>
      <w:r w:rsidR="00EF0EDC">
        <w:t>transmission</w:t>
      </w:r>
      <w:r w:rsidR="00E13D6A">
        <w:t>.</w:t>
      </w:r>
      <w:proofErr w:type="gramEnd"/>
      <w:r w:rsidR="00E13D6A">
        <w:t xml:space="preserve"> </w:t>
      </w:r>
      <w:r w:rsidRPr="0066567F">
        <w:t xml:space="preserve">If attributes are metrically similar and have relatively small </w:t>
      </w:r>
      <w:r w:rsidRPr="0066567F">
        <w:rPr>
          <w:i/>
        </w:rPr>
        <w:t>CVs,</w:t>
      </w:r>
      <w:r w:rsidRPr="0066567F">
        <w:t xml:space="preserve"> then it can be argued that standardization is a factor in vessel manufacture.  However, </w:t>
      </w:r>
      <w:r w:rsidRPr="005301D4">
        <w:t xml:space="preserve">as Clarke (1968) and </w:t>
      </w:r>
      <w:proofErr w:type="spellStart"/>
      <w:r w:rsidRPr="005301D4">
        <w:t>Eerkens</w:t>
      </w:r>
      <w:proofErr w:type="spellEnd"/>
      <w:r w:rsidRPr="005301D4">
        <w:t xml:space="preserve"> and </w:t>
      </w:r>
      <w:proofErr w:type="spellStart"/>
      <w:r w:rsidRPr="005301D4">
        <w:t>Bettinger</w:t>
      </w:r>
      <w:proofErr w:type="spellEnd"/>
      <w:r w:rsidRPr="005301D4">
        <w:t xml:space="preserve"> (2001)</w:t>
      </w:r>
      <w:r w:rsidRPr="00E13D6A">
        <w:rPr>
          <w:color w:val="FF0000"/>
        </w:rPr>
        <w:t xml:space="preserve"> </w:t>
      </w:r>
      <w:r w:rsidRPr="0066567F">
        <w:t>point out</w:t>
      </w:r>
      <w:r w:rsidR="00EF0EDC">
        <w:t>,</w:t>
      </w:r>
      <w:r w:rsidRPr="0066567F">
        <w:t xml:space="preserve"> the identified attributes must result </w:t>
      </w:r>
      <w:r w:rsidR="00A738F2">
        <w:t>from intentional human action. High fidelity in transmission is evidence that a particular attribute is “standardized.”</w:t>
      </w:r>
    </w:p>
    <w:p w:rsidR="00BC15DF" w:rsidRPr="00EF0EDC" w:rsidRDefault="00BC15DF" w:rsidP="00BC15DF">
      <w:pPr>
        <w:spacing w:line="480" w:lineRule="auto"/>
        <w:ind w:firstLine="720"/>
        <w:rPr>
          <w:color w:val="FF0000"/>
        </w:rPr>
      </w:pPr>
      <w:proofErr w:type="spellStart"/>
      <w:r w:rsidRPr="005301D4">
        <w:t>Eerkens</w:t>
      </w:r>
      <w:proofErr w:type="spellEnd"/>
      <w:r w:rsidRPr="005301D4">
        <w:t xml:space="preserve"> and </w:t>
      </w:r>
      <w:proofErr w:type="spellStart"/>
      <w:r w:rsidRPr="005301D4">
        <w:t>Bettinger</w:t>
      </w:r>
      <w:proofErr w:type="spellEnd"/>
      <w:r w:rsidRPr="005301D4">
        <w:t xml:space="preserve"> (2001)</w:t>
      </w:r>
      <w:r w:rsidR="0044417A" w:rsidRPr="00E13D6A">
        <w:rPr>
          <w:color w:val="FF0000"/>
        </w:rPr>
        <w:t xml:space="preserve"> </w:t>
      </w:r>
      <w:r w:rsidR="0044417A">
        <w:t>have proposed using the “Coefficient of Variation,” (</w:t>
      </w:r>
      <w:r w:rsidR="0044417A">
        <w:rPr>
          <w:i/>
        </w:rPr>
        <w:t>CV)</w:t>
      </w:r>
      <w:r w:rsidR="0044417A">
        <w:t xml:space="preserve"> as an external means for assessing standardization. </w:t>
      </w:r>
      <w:r w:rsidRPr="0066567F">
        <w:t xml:space="preserve"> </w:t>
      </w:r>
    </w:p>
    <w:p w:rsidR="00BC15DF" w:rsidRPr="0066567F" w:rsidRDefault="00444F6C" w:rsidP="00BC15DF">
      <w:pPr>
        <w:spacing w:line="480" w:lineRule="auto"/>
        <w:rPr>
          <w:i/>
        </w:rPr>
      </w:pPr>
      <w:r>
        <w:rPr>
          <w:i/>
        </w:rPr>
        <w:t>Assessing S</w:t>
      </w:r>
      <w:r w:rsidR="00BC15DF" w:rsidRPr="0066567F">
        <w:rPr>
          <w:i/>
        </w:rPr>
        <w:t>tandardization</w:t>
      </w:r>
    </w:p>
    <w:p w:rsidR="00BC15DF" w:rsidRPr="0066567F" w:rsidRDefault="00BC15DF" w:rsidP="00BC15DF">
      <w:pPr>
        <w:spacing w:line="480" w:lineRule="auto"/>
        <w:ind w:firstLine="720"/>
      </w:pPr>
      <w:r w:rsidRPr="0066567F">
        <w:t>In terms of cultural transmission, intentional attributes (</w:t>
      </w:r>
      <w:proofErr w:type="spellStart"/>
      <w:r w:rsidRPr="0066567F">
        <w:rPr>
          <w:i/>
        </w:rPr>
        <w:t>sensu</w:t>
      </w:r>
      <w:proofErr w:type="spellEnd"/>
      <w:r w:rsidRPr="0066567F">
        <w:rPr>
          <w:i/>
        </w:rPr>
        <w:t xml:space="preserve"> </w:t>
      </w:r>
      <w:proofErr w:type="spellStart"/>
      <w:r w:rsidRPr="005301D4">
        <w:t>Costin</w:t>
      </w:r>
      <w:proofErr w:type="spellEnd"/>
      <w:r w:rsidRPr="005301D4">
        <w:t xml:space="preserve"> and </w:t>
      </w:r>
      <w:proofErr w:type="spellStart"/>
      <w:r w:rsidRPr="005301D4">
        <w:t>Hagstrum</w:t>
      </w:r>
      <w:proofErr w:type="spellEnd"/>
      <w:r w:rsidRPr="005301D4">
        <w:t xml:space="preserve"> 1995)</w:t>
      </w:r>
      <w:r w:rsidRPr="0066567F">
        <w:t xml:space="preserve"> will be those attributes that reflect </w:t>
      </w:r>
      <w:proofErr w:type="spellStart"/>
      <w:r w:rsidRPr="0066567F">
        <w:t>memetic</w:t>
      </w:r>
      <w:proofErr w:type="spellEnd"/>
      <w:r w:rsidRPr="0066567F">
        <w:t xml:space="preserve"> inheritance because the artisan will be aware of the nature of the information that is moving between parties and will consciously want to reproduce </w:t>
      </w:r>
      <w:r w:rsidRPr="0066567F">
        <w:lastRenderedPageBreak/>
        <w:t xml:space="preserve">it with some degree of fidelity. This kind of variation can be sorted out using a technique employed by </w:t>
      </w:r>
      <w:proofErr w:type="spellStart"/>
      <w:r w:rsidRPr="0066567F">
        <w:t>Eerkens</w:t>
      </w:r>
      <w:proofErr w:type="spellEnd"/>
      <w:r w:rsidRPr="0066567F">
        <w:t xml:space="preserve"> and </w:t>
      </w:r>
      <w:proofErr w:type="spellStart"/>
      <w:r w:rsidRPr="0066567F">
        <w:t>Bettinger</w:t>
      </w:r>
      <w:proofErr w:type="spellEnd"/>
      <w:r w:rsidRPr="0066567F">
        <w:t xml:space="preserve"> (2001).  It is also the case that similarity below some critical threshold, as summarized by the coefficient of variation could be the result of the use of some sort of measuring device.  </w:t>
      </w:r>
    </w:p>
    <w:p w:rsidR="00BC15DF" w:rsidRPr="0066567F" w:rsidRDefault="00BC15DF" w:rsidP="00BC15DF">
      <w:pPr>
        <w:spacing w:line="480" w:lineRule="auto"/>
        <w:ind w:firstLine="720"/>
      </w:pPr>
      <w:proofErr w:type="spellStart"/>
      <w:r w:rsidRPr="0066567F">
        <w:t>Eerkens</w:t>
      </w:r>
      <w:proofErr w:type="spellEnd"/>
      <w:r w:rsidRPr="0066567F">
        <w:t xml:space="preserve"> and </w:t>
      </w:r>
      <w:proofErr w:type="spellStart"/>
      <w:r w:rsidRPr="0066567F">
        <w:t>Bettinger</w:t>
      </w:r>
      <w:proofErr w:type="spellEnd"/>
      <w:r w:rsidRPr="0066567F">
        <w:t xml:space="preserve"> (2001) (</w:t>
      </w:r>
      <w:r w:rsidRPr="005301D4">
        <w:t xml:space="preserve">along </w:t>
      </w:r>
      <w:r w:rsidR="005301D4" w:rsidRPr="005301D4">
        <w:t xml:space="preserve">with </w:t>
      </w:r>
      <w:proofErr w:type="spellStart"/>
      <w:r w:rsidRPr="005301D4">
        <w:t>Costin</w:t>
      </w:r>
      <w:proofErr w:type="spellEnd"/>
      <w:r w:rsidRPr="005301D4">
        <w:t xml:space="preserve"> and </w:t>
      </w:r>
      <w:proofErr w:type="spellStart"/>
      <w:r w:rsidRPr="005301D4">
        <w:t>Hagstrum</w:t>
      </w:r>
      <w:proofErr w:type="spellEnd"/>
      <w:r w:rsidRPr="005301D4">
        <w:t xml:space="preserve"> 1995; </w:t>
      </w:r>
      <w:proofErr w:type="spellStart"/>
      <w:r w:rsidRPr="005301D4">
        <w:t>Longacre</w:t>
      </w:r>
      <w:proofErr w:type="spellEnd"/>
      <w:r w:rsidRPr="005301D4">
        <w:t xml:space="preserve"> 1999; </w:t>
      </w:r>
      <w:r w:rsidRPr="001756D1">
        <w:t>Rice 1991</w:t>
      </w:r>
      <w:r w:rsidR="005301D4" w:rsidRPr="001756D1">
        <w:t xml:space="preserve"> and others</w:t>
      </w:r>
      <w:r w:rsidRPr="001756D1">
        <w:t>)</w:t>
      </w:r>
      <w:r w:rsidRPr="0066567F">
        <w:t xml:space="preserve"> note that for every item that is produced there is some degree of tolerance for: “deviation from a standard size, shape, form or method of construction. </w:t>
      </w:r>
      <w:proofErr w:type="gramStart"/>
      <w:r w:rsidRPr="0066567F">
        <w:t>Higher tolerance increases variability, while lower tolerance decreases variability, leading to standardization” (</w:t>
      </w:r>
      <w:proofErr w:type="spellStart"/>
      <w:r w:rsidRPr="0066567F">
        <w:t>Eerkens</w:t>
      </w:r>
      <w:proofErr w:type="spellEnd"/>
      <w:r w:rsidRPr="0066567F">
        <w:t xml:space="preserve"> and </w:t>
      </w:r>
      <w:proofErr w:type="spellStart"/>
      <w:r w:rsidRPr="0066567F">
        <w:t>Bettinger</w:t>
      </w:r>
      <w:proofErr w:type="spellEnd"/>
      <w:r w:rsidRPr="0066567F">
        <w:t xml:space="preserve"> 2001:493).</w:t>
      </w:r>
      <w:proofErr w:type="gramEnd"/>
      <w:r w:rsidRPr="0066567F">
        <w:t xml:space="preserve">  They argue that while several studies use quantitative measures to </w:t>
      </w:r>
      <w:r w:rsidR="00E20FA3">
        <w:t xml:space="preserve">illustrate </w:t>
      </w:r>
      <w:r w:rsidRPr="0066567F">
        <w:t>standardization, nothing in the literature offers an independent measure for assessing standardization (</w:t>
      </w:r>
      <w:proofErr w:type="spellStart"/>
      <w:r w:rsidRPr="0066567F">
        <w:t>Eerkens</w:t>
      </w:r>
      <w:proofErr w:type="spellEnd"/>
      <w:r w:rsidRPr="0066567F">
        <w:t xml:space="preserve"> and </w:t>
      </w:r>
      <w:proofErr w:type="spellStart"/>
      <w:r w:rsidRPr="0066567F">
        <w:t>Bettinger</w:t>
      </w:r>
      <w:proofErr w:type="spellEnd"/>
      <w:r w:rsidRPr="0066567F">
        <w:t xml:space="preserve"> 2001:493).  </w:t>
      </w:r>
    </w:p>
    <w:p w:rsidR="00BC15DF" w:rsidRPr="0066567F" w:rsidRDefault="00BC15DF" w:rsidP="00BC15DF">
      <w:pPr>
        <w:spacing w:line="480" w:lineRule="auto"/>
        <w:ind w:firstLine="720"/>
      </w:pPr>
      <w:r w:rsidRPr="0066567F">
        <w:t>Thus they identify “baselines” for the independent assessment of variation (</w:t>
      </w:r>
      <w:proofErr w:type="spellStart"/>
      <w:r w:rsidRPr="0066567F">
        <w:t>Eerkens</w:t>
      </w:r>
      <w:proofErr w:type="spellEnd"/>
      <w:r w:rsidRPr="0066567F">
        <w:t xml:space="preserve"> and </w:t>
      </w:r>
      <w:proofErr w:type="spellStart"/>
      <w:r w:rsidRPr="0066567F">
        <w:t>Bettinger</w:t>
      </w:r>
      <w:proofErr w:type="spellEnd"/>
      <w:r w:rsidRPr="0066567F">
        <w:t xml:space="preserve"> 2001:494).  They use the </w:t>
      </w:r>
      <w:r w:rsidRPr="0066567F">
        <w:rPr>
          <w:i/>
        </w:rPr>
        <w:t>CV</w:t>
      </w:r>
      <w:r w:rsidRPr="0066567F">
        <w:t xml:space="preserve"> (the sample standard deviation divided by the sample mean) as a “stable and reliable measure of variation” (2001:494-495).  The source of these baselines is taken from psychological literature pertaining to the limitations on the human perception of difference.  People are prone to “scalar error” when using only their sense to evaluate differences in measurements such as length, weight, color, sound.  Error increases proportionally with the “magnitude or size” of the objects or phenomena being compared (</w:t>
      </w:r>
      <w:proofErr w:type="spellStart"/>
      <w:r w:rsidRPr="0066567F">
        <w:t>Eerkens</w:t>
      </w:r>
      <w:proofErr w:type="spellEnd"/>
      <w:r w:rsidRPr="0066567F">
        <w:t xml:space="preserve"> and </w:t>
      </w:r>
      <w:proofErr w:type="spellStart"/>
      <w:r w:rsidRPr="0066567F">
        <w:t>Bettinger</w:t>
      </w:r>
      <w:proofErr w:type="spellEnd"/>
      <w:r w:rsidRPr="0066567F">
        <w:t xml:space="preserve"> 2001:494).  In other words, the amount of perceived difference (increment threshold) that can be perceived will increase as the size of the object increases.</w:t>
      </w:r>
    </w:p>
    <w:p w:rsidR="00BC15DF" w:rsidRPr="0066567F" w:rsidRDefault="00BC15DF" w:rsidP="00BC15DF">
      <w:pPr>
        <w:spacing w:line="480" w:lineRule="auto"/>
        <w:ind w:firstLine="720"/>
      </w:pPr>
      <w:r w:rsidRPr="0066567F">
        <w:t>In the mid 1800s E.H. Weber noted that individual’s ability to discriminate between objects of different weight depended on the mean weight of the objects involved (</w:t>
      </w:r>
      <w:proofErr w:type="spellStart"/>
      <w:r w:rsidRPr="0066567F">
        <w:t>Eerkens</w:t>
      </w:r>
      <w:proofErr w:type="spellEnd"/>
      <w:r w:rsidRPr="0066567F">
        <w:t xml:space="preserve"> and </w:t>
      </w:r>
      <w:proofErr w:type="spellStart"/>
      <w:r w:rsidRPr="0066567F">
        <w:t>Bettinger</w:t>
      </w:r>
      <w:proofErr w:type="spellEnd"/>
      <w:r w:rsidRPr="0066567F">
        <w:t xml:space="preserve"> 2001:494).  Human appreciation of heaviness, in other words is not like the sensitivity </w:t>
      </w:r>
      <w:r w:rsidRPr="0066567F">
        <w:lastRenderedPageBreak/>
        <w:t>of a measuring device, but is rather relative to object weight (</w:t>
      </w:r>
      <w:proofErr w:type="spellStart"/>
      <w:r w:rsidRPr="0066567F">
        <w:t>Eerkens</w:t>
      </w:r>
      <w:proofErr w:type="spellEnd"/>
      <w:r w:rsidRPr="0066567F">
        <w:t xml:space="preserve"> and </w:t>
      </w:r>
      <w:proofErr w:type="spellStart"/>
      <w:r w:rsidRPr="0066567F">
        <w:t>Bettinger</w:t>
      </w:r>
      <w:proofErr w:type="spellEnd"/>
      <w:r w:rsidRPr="0066567F">
        <w:t xml:space="preserve"> 2001:495).  This discovery resulted in the development of the Weber fraction, which demonstrated that objects had to differ by more than two percent for a difference in weight to be appreciated (</w:t>
      </w:r>
      <w:proofErr w:type="spellStart"/>
      <w:r w:rsidRPr="0066567F">
        <w:t>Eerkens</w:t>
      </w:r>
      <w:proofErr w:type="spellEnd"/>
      <w:r w:rsidRPr="0066567F">
        <w:t xml:space="preserve"> and </w:t>
      </w:r>
      <w:proofErr w:type="spellStart"/>
      <w:r w:rsidRPr="0066567F">
        <w:t>Bettinger</w:t>
      </w:r>
      <w:proofErr w:type="spellEnd"/>
      <w:r w:rsidRPr="0066567F">
        <w:t xml:space="preserve"> 2001:495).  </w:t>
      </w:r>
    </w:p>
    <w:p w:rsidR="00BC15DF" w:rsidRPr="0066567F" w:rsidRDefault="00BC15DF" w:rsidP="00BC15DF">
      <w:pPr>
        <w:spacing w:line="480" w:lineRule="auto"/>
        <w:ind w:firstLine="720"/>
      </w:pPr>
      <w:r w:rsidRPr="0066567F">
        <w:t>Human perception of linear distance is similarly scaled with lengths needing to differ by more than 3 percent for there to be a difference in perception (</w:t>
      </w:r>
      <w:proofErr w:type="spellStart"/>
      <w:r w:rsidRPr="0071467E">
        <w:t>Teghtsoonian</w:t>
      </w:r>
      <w:proofErr w:type="spellEnd"/>
      <w:r w:rsidRPr="0071467E">
        <w:t xml:space="preserve"> 1971)</w:t>
      </w:r>
      <w:r w:rsidRPr="0066567F">
        <w:t>.  The number varies somewhat, but not significantly by gender, age or within an individual over the course of time (</w:t>
      </w:r>
      <w:proofErr w:type="spellStart"/>
      <w:r w:rsidRPr="0071467E">
        <w:t>Verillo</w:t>
      </w:r>
      <w:proofErr w:type="spellEnd"/>
      <w:r w:rsidRPr="0071467E">
        <w:t xml:space="preserve"> 1983</w:t>
      </w:r>
      <w:r w:rsidRPr="0066567F">
        <w:t xml:space="preserve">).  It is also reported that the Weber fraction is constant over a wide range of sizes.  Regardless of the stimulus introduced, for difference to be perceived, the difference between the </w:t>
      </w:r>
      <w:r w:rsidR="000F1BCA">
        <w:t>phenomena tends to range from 1-</w:t>
      </w:r>
      <w:r w:rsidRPr="0066567F">
        <w:t xml:space="preserve">3%.  </w:t>
      </w:r>
      <w:r w:rsidRPr="0066567F">
        <w:tab/>
      </w:r>
    </w:p>
    <w:p w:rsidR="00BC15DF" w:rsidRPr="0066567F" w:rsidRDefault="00BC15DF" w:rsidP="00BC15DF">
      <w:pPr>
        <w:spacing w:line="480" w:lineRule="auto"/>
        <w:ind w:firstLine="720"/>
      </w:pPr>
      <w:r w:rsidRPr="0066567F">
        <w:t xml:space="preserve">As </w:t>
      </w:r>
      <w:proofErr w:type="spellStart"/>
      <w:r w:rsidRPr="0066567F">
        <w:t>Eerkens</w:t>
      </w:r>
      <w:proofErr w:type="spellEnd"/>
      <w:r w:rsidRPr="0066567F">
        <w:t xml:space="preserve"> and </w:t>
      </w:r>
      <w:proofErr w:type="spellStart"/>
      <w:r w:rsidRPr="0066567F">
        <w:t>Bettinger</w:t>
      </w:r>
      <w:proofErr w:type="spellEnd"/>
      <w:r w:rsidRPr="0066567F">
        <w:t xml:space="preserve"> note, this discovery has implications for understanding artifact variability.  Of particular note is that “scalar error divided by size will be constant in handmade sets of artifacts made without rulers” (</w:t>
      </w:r>
      <w:proofErr w:type="spellStart"/>
      <w:r w:rsidRPr="0066567F">
        <w:t>Eerkens</w:t>
      </w:r>
      <w:proofErr w:type="spellEnd"/>
      <w:r w:rsidRPr="0066567F">
        <w:t xml:space="preserve"> and </w:t>
      </w:r>
      <w:proofErr w:type="spellStart"/>
      <w:r w:rsidRPr="0066567F">
        <w:t>Bettinger</w:t>
      </w:r>
      <w:proofErr w:type="spellEnd"/>
      <w:r w:rsidRPr="0066567F">
        <w:t xml:space="preserve"> 2001:495).  The </w:t>
      </w:r>
      <w:r w:rsidRPr="0066567F">
        <w:rPr>
          <w:i/>
        </w:rPr>
        <w:t xml:space="preserve">CV </w:t>
      </w:r>
      <w:r w:rsidRPr="0066567F">
        <w:t xml:space="preserve">in fact mathematically expresses this relationship.  If artifact attributes are being intentionally reproduced to a standard, with only the naked eye to estimate difference in size, then </w:t>
      </w:r>
      <w:r w:rsidRPr="0066567F">
        <w:rPr>
          <w:i/>
        </w:rPr>
        <w:t>CV</w:t>
      </w:r>
      <w:r w:rsidRPr="0066567F">
        <w:t xml:space="preserve">s for those artifact assemblages should approach the Weber fraction. Alternatively, it is possible that constructions resulting from the use of some sort of measuring or standardizing device will result in measurements with </w:t>
      </w:r>
      <w:r w:rsidRPr="0066567F">
        <w:rPr>
          <w:i/>
        </w:rPr>
        <w:t>CV</w:t>
      </w:r>
      <w:r w:rsidRPr="0066567F">
        <w:t xml:space="preserve">s below the threshold of the Weber fraction.  Table 2-1 summarizes some ranges of </w:t>
      </w:r>
      <w:r w:rsidRPr="0066567F">
        <w:rPr>
          <w:i/>
        </w:rPr>
        <w:t>CV</w:t>
      </w:r>
      <w:r w:rsidRPr="0066567F">
        <w:t xml:space="preserve">s resulting from machine produced items and the products of modern pottery specialists working without standardizing devices, as well as the hypothetical ranges for Weber fraction </w:t>
      </w:r>
      <w:r w:rsidRPr="0066567F">
        <w:rPr>
          <w:i/>
        </w:rPr>
        <w:t>CV</w:t>
      </w:r>
      <w:r w:rsidRPr="0066567F">
        <w:t xml:space="preserve">s and </w:t>
      </w:r>
      <w:r w:rsidRPr="0066567F">
        <w:rPr>
          <w:i/>
        </w:rPr>
        <w:t>CV</w:t>
      </w:r>
      <w:r w:rsidRPr="0066567F">
        <w:t xml:space="preserve">s from a random uniform data set.     </w:t>
      </w:r>
    </w:p>
    <w:p w:rsidR="000D6DE6" w:rsidRDefault="000D6DE6" w:rsidP="00BC15DF">
      <w:pPr>
        <w:spacing w:line="480" w:lineRule="auto"/>
        <w:ind w:left="741"/>
        <w:rPr>
          <w:color w:val="000000" w:themeColor="text1"/>
        </w:rPr>
      </w:pPr>
    </w:p>
    <w:p w:rsidR="000D6DE6" w:rsidRDefault="000D6DE6" w:rsidP="00BC15DF">
      <w:pPr>
        <w:spacing w:line="480" w:lineRule="auto"/>
        <w:ind w:left="741"/>
        <w:rPr>
          <w:color w:val="000000" w:themeColor="text1"/>
        </w:rPr>
      </w:pPr>
    </w:p>
    <w:p w:rsidR="00BC15DF" w:rsidRPr="0066567F" w:rsidRDefault="00BC15DF" w:rsidP="00BC15DF">
      <w:pPr>
        <w:spacing w:line="480" w:lineRule="auto"/>
        <w:ind w:left="741"/>
      </w:pPr>
      <w:r w:rsidRPr="001B500D">
        <w:rPr>
          <w:color w:val="000000" w:themeColor="text1"/>
        </w:rPr>
        <w:lastRenderedPageBreak/>
        <w:t xml:space="preserve">Table </w:t>
      </w:r>
      <w:r w:rsidR="001B500D" w:rsidRPr="001B500D">
        <w:rPr>
          <w:color w:val="000000" w:themeColor="text1"/>
        </w:rPr>
        <w:t>1</w:t>
      </w:r>
      <w:r w:rsidRPr="001B500D">
        <w:rPr>
          <w:color w:val="000000" w:themeColor="text1"/>
        </w:rPr>
        <w:t>:</w:t>
      </w:r>
      <w:r w:rsidRPr="0066567F">
        <w:t xml:space="preserve">  Select </w:t>
      </w:r>
      <w:r w:rsidRPr="0066567F">
        <w:rPr>
          <w:i/>
        </w:rPr>
        <w:t xml:space="preserve">CV </w:t>
      </w:r>
      <w:r w:rsidRPr="0066567F">
        <w:t xml:space="preserve">ranges (from </w:t>
      </w:r>
      <w:proofErr w:type="spellStart"/>
      <w:r w:rsidRPr="0066567F">
        <w:t>Eerkens</w:t>
      </w:r>
      <w:proofErr w:type="spellEnd"/>
      <w:r w:rsidRPr="0066567F">
        <w:t xml:space="preserve"> and </w:t>
      </w:r>
      <w:proofErr w:type="spellStart"/>
      <w:r w:rsidRPr="0066567F">
        <w:t>Bettinger</w:t>
      </w:r>
      <w:proofErr w:type="spellEnd"/>
      <w:r w:rsidRPr="0066567F">
        <w:t xml:space="preserve"> 2001, table 1)</w:t>
      </w:r>
      <w:r w:rsidRPr="0066567F">
        <w:tab/>
      </w:r>
    </w:p>
    <w:tbl>
      <w:tblPr>
        <w:tblW w:w="8820" w:type="dxa"/>
        <w:tblInd w:w="849" w:type="dxa"/>
        <w:tblLook w:val="0000"/>
      </w:tblPr>
      <w:tblGrid>
        <w:gridCol w:w="3520"/>
        <w:gridCol w:w="1240"/>
        <w:gridCol w:w="1480"/>
        <w:gridCol w:w="2580"/>
      </w:tblGrid>
      <w:tr w:rsidR="00BC15DF" w:rsidRPr="0066567F" w:rsidTr="00D231B9">
        <w:trPr>
          <w:trHeight w:val="255"/>
        </w:trPr>
        <w:tc>
          <w:tcPr>
            <w:tcW w:w="3520" w:type="dxa"/>
            <w:tcBorders>
              <w:top w:val="nil"/>
              <w:left w:val="nil"/>
              <w:bottom w:val="nil"/>
              <w:right w:val="nil"/>
            </w:tcBorders>
            <w:shd w:val="clear" w:color="auto" w:fill="auto"/>
            <w:noWrap/>
            <w:vAlign w:val="bottom"/>
          </w:tcPr>
          <w:p w:rsidR="00BC15DF" w:rsidRPr="0066567F" w:rsidRDefault="00BC15DF" w:rsidP="00D231B9">
            <w:pPr>
              <w:rPr>
                <w:b/>
                <w:bCs/>
              </w:rPr>
            </w:pPr>
            <w:r w:rsidRPr="0066567F">
              <w:rPr>
                <w:b/>
                <w:bCs/>
              </w:rPr>
              <w:t>Data Set</w:t>
            </w:r>
          </w:p>
        </w:tc>
        <w:tc>
          <w:tcPr>
            <w:tcW w:w="1240" w:type="dxa"/>
            <w:tcBorders>
              <w:top w:val="nil"/>
              <w:left w:val="nil"/>
              <w:bottom w:val="nil"/>
              <w:right w:val="nil"/>
            </w:tcBorders>
            <w:shd w:val="clear" w:color="auto" w:fill="auto"/>
            <w:noWrap/>
            <w:vAlign w:val="bottom"/>
          </w:tcPr>
          <w:p w:rsidR="00BC15DF" w:rsidRPr="0066567F" w:rsidRDefault="00BC15DF" w:rsidP="00D231B9">
            <w:pPr>
              <w:rPr>
                <w:b/>
                <w:bCs/>
              </w:rPr>
            </w:pPr>
            <w:r w:rsidRPr="0066567F">
              <w:rPr>
                <w:b/>
                <w:bCs/>
              </w:rPr>
              <w:t>Avg. CV %</w:t>
            </w:r>
          </w:p>
        </w:tc>
        <w:tc>
          <w:tcPr>
            <w:tcW w:w="1480" w:type="dxa"/>
            <w:tcBorders>
              <w:top w:val="nil"/>
              <w:left w:val="nil"/>
              <w:bottom w:val="nil"/>
              <w:right w:val="nil"/>
            </w:tcBorders>
            <w:shd w:val="clear" w:color="auto" w:fill="auto"/>
            <w:noWrap/>
            <w:vAlign w:val="bottom"/>
          </w:tcPr>
          <w:p w:rsidR="00BC15DF" w:rsidRPr="0066567F" w:rsidRDefault="00BC15DF" w:rsidP="00D231B9">
            <w:pPr>
              <w:rPr>
                <w:b/>
                <w:bCs/>
              </w:rPr>
            </w:pPr>
            <w:r w:rsidRPr="0066567F">
              <w:rPr>
                <w:b/>
                <w:bCs/>
              </w:rPr>
              <w:t>Range of CV %</w:t>
            </w:r>
          </w:p>
        </w:tc>
        <w:tc>
          <w:tcPr>
            <w:tcW w:w="2580" w:type="dxa"/>
            <w:tcBorders>
              <w:top w:val="nil"/>
              <w:left w:val="nil"/>
              <w:bottom w:val="nil"/>
              <w:right w:val="nil"/>
            </w:tcBorders>
            <w:shd w:val="clear" w:color="auto" w:fill="auto"/>
            <w:noWrap/>
            <w:vAlign w:val="bottom"/>
          </w:tcPr>
          <w:p w:rsidR="00BC15DF" w:rsidRPr="0066567F" w:rsidRDefault="00BC15DF" w:rsidP="00D231B9">
            <w:pPr>
              <w:rPr>
                <w:b/>
                <w:bCs/>
              </w:rPr>
            </w:pPr>
            <w:r w:rsidRPr="0066567F">
              <w:rPr>
                <w:b/>
                <w:bCs/>
              </w:rPr>
              <w:t>Source</w:t>
            </w:r>
          </w:p>
        </w:tc>
      </w:tr>
      <w:tr w:rsidR="00BC15DF" w:rsidRPr="0066567F" w:rsidTr="00D231B9">
        <w:trPr>
          <w:trHeight w:val="300"/>
        </w:trPr>
        <w:tc>
          <w:tcPr>
            <w:tcW w:w="3520" w:type="dxa"/>
            <w:tcBorders>
              <w:top w:val="nil"/>
              <w:left w:val="nil"/>
              <w:bottom w:val="nil"/>
              <w:right w:val="nil"/>
            </w:tcBorders>
            <w:shd w:val="clear" w:color="auto" w:fill="auto"/>
            <w:noWrap/>
            <w:vAlign w:val="bottom"/>
          </w:tcPr>
          <w:p w:rsidR="00BC15DF" w:rsidRPr="0066567F" w:rsidRDefault="00BC15DF" w:rsidP="00D231B9">
            <w:r w:rsidRPr="0066567F">
              <w:t>Machine produced items</w:t>
            </w:r>
          </w:p>
        </w:tc>
        <w:tc>
          <w:tcPr>
            <w:tcW w:w="1240" w:type="dxa"/>
            <w:tcBorders>
              <w:top w:val="nil"/>
              <w:left w:val="nil"/>
              <w:bottom w:val="nil"/>
              <w:right w:val="nil"/>
            </w:tcBorders>
            <w:shd w:val="clear" w:color="auto" w:fill="auto"/>
            <w:noWrap/>
            <w:vAlign w:val="bottom"/>
          </w:tcPr>
          <w:p w:rsidR="00BC15DF" w:rsidRPr="0066567F" w:rsidRDefault="00BC15DF" w:rsidP="00D231B9">
            <w:pPr>
              <w:jc w:val="center"/>
            </w:pPr>
            <w:r w:rsidRPr="0066567F">
              <w:t>0.1</w:t>
            </w:r>
          </w:p>
        </w:tc>
        <w:tc>
          <w:tcPr>
            <w:tcW w:w="1480" w:type="dxa"/>
            <w:tcBorders>
              <w:top w:val="nil"/>
              <w:left w:val="nil"/>
              <w:bottom w:val="nil"/>
              <w:right w:val="nil"/>
            </w:tcBorders>
            <w:shd w:val="clear" w:color="auto" w:fill="auto"/>
            <w:noWrap/>
            <w:vAlign w:val="bottom"/>
          </w:tcPr>
          <w:p w:rsidR="00BC15DF" w:rsidRPr="0066567F" w:rsidRDefault="00BC15DF" w:rsidP="00D231B9">
            <w:pPr>
              <w:jc w:val="center"/>
            </w:pPr>
            <w:r w:rsidRPr="0066567F">
              <w:t>0.1-0.2</w:t>
            </w:r>
          </w:p>
        </w:tc>
        <w:tc>
          <w:tcPr>
            <w:tcW w:w="2580" w:type="dxa"/>
            <w:tcBorders>
              <w:top w:val="nil"/>
              <w:left w:val="nil"/>
              <w:bottom w:val="nil"/>
              <w:right w:val="nil"/>
            </w:tcBorders>
            <w:shd w:val="clear" w:color="auto" w:fill="auto"/>
            <w:noWrap/>
            <w:vAlign w:val="bottom"/>
          </w:tcPr>
          <w:p w:rsidR="00BC15DF" w:rsidRPr="0066567F" w:rsidRDefault="00BC15DF" w:rsidP="00D231B9">
            <w:proofErr w:type="spellStart"/>
            <w:r w:rsidRPr="0066567F">
              <w:t>Eerkens</w:t>
            </w:r>
            <w:proofErr w:type="spellEnd"/>
            <w:r w:rsidRPr="0066567F">
              <w:t xml:space="preserve"> 2000</w:t>
            </w:r>
          </w:p>
        </w:tc>
      </w:tr>
      <w:tr w:rsidR="00BC15DF" w:rsidRPr="0066567F" w:rsidTr="00D231B9">
        <w:trPr>
          <w:trHeight w:val="300"/>
        </w:trPr>
        <w:tc>
          <w:tcPr>
            <w:tcW w:w="3520" w:type="dxa"/>
            <w:tcBorders>
              <w:top w:val="nil"/>
              <w:left w:val="nil"/>
              <w:bottom w:val="nil"/>
              <w:right w:val="nil"/>
            </w:tcBorders>
            <w:shd w:val="clear" w:color="auto" w:fill="auto"/>
            <w:noWrap/>
            <w:vAlign w:val="bottom"/>
          </w:tcPr>
          <w:p w:rsidR="00E13D6A" w:rsidRDefault="00E13D6A" w:rsidP="00D231B9"/>
          <w:p w:rsidR="00BC15DF" w:rsidRPr="0066567F" w:rsidRDefault="00BC15DF" w:rsidP="00D231B9">
            <w:r w:rsidRPr="0066567F">
              <w:t>Weber fraction</w:t>
            </w:r>
          </w:p>
        </w:tc>
        <w:tc>
          <w:tcPr>
            <w:tcW w:w="1240" w:type="dxa"/>
            <w:tcBorders>
              <w:top w:val="nil"/>
              <w:left w:val="nil"/>
              <w:bottom w:val="nil"/>
              <w:right w:val="nil"/>
            </w:tcBorders>
            <w:shd w:val="clear" w:color="auto" w:fill="auto"/>
            <w:noWrap/>
            <w:vAlign w:val="bottom"/>
          </w:tcPr>
          <w:p w:rsidR="00BC15DF" w:rsidRPr="0066567F" w:rsidRDefault="00BC15DF" w:rsidP="00D231B9">
            <w:pPr>
              <w:jc w:val="center"/>
            </w:pPr>
            <w:r w:rsidRPr="0066567F">
              <w:t>1.6</w:t>
            </w:r>
          </w:p>
        </w:tc>
        <w:tc>
          <w:tcPr>
            <w:tcW w:w="1480" w:type="dxa"/>
            <w:tcBorders>
              <w:top w:val="nil"/>
              <w:left w:val="nil"/>
              <w:bottom w:val="nil"/>
              <w:right w:val="nil"/>
            </w:tcBorders>
            <w:shd w:val="clear" w:color="auto" w:fill="auto"/>
            <w:noWrap/>
            <w:vAlign w:val="bottom"/>
          </w:tcPr>
          <w:p w:rsidR="00BC15DF" w:rsidRPr="0066567F" w:rsidRDefault="00BC15DF" w:rsidP="00D231B9">
            <w:pPr>
              <w:jc w:val="center"/>
            </w:pPr>
            <w:r w:rsidRPr="0066567F">
              <w:t>1.6-1.7</w:t>
            </w:r>
          </w:p>
        </w:tc>
        <w:tc>
          <w:tcPr>
            <w:tcW w:w="2580" w:type="dxa"/>
            <w:tcBorders>
              <w:top w:val="nil"/>
              <w:left w:val="nil"/>
              <w:bottom w:val="nil"/>
              <w:right w:val="nil"/>
            </w:tcBorders>
            <w:shd w:val="clear" w:color="auto" w:fill="auto"/>
            <w:noWrap/>
            <w:vAlign w:val="bottom"/>
          </w:tcPr>
          <w:p w:rsidR="00BC15DF" w:rsidRPr="0066567F" w:rsidRDefault="00BC15DF" w:rsidP="00D231B9">
            <w:r w:rsidRPr="0066567F">
              <w:t>Ogle 1950</w:t>
            </w:r>
          </w:p>
        </w:tc>
      </w:tr>
      <w:tr w:rsidR="00BC15DF" w:rsidRPr="0066567F" w:rsidTr="00D231B9">
        <w:trPr>
          <w:trHeight w:val="300"/>
        </w:trPr>
        <w:tc>
          <w:tcPr>
            <w:tcW w:w="3520" w:type="dxa"/>
            <w:tcBorders>
              <w:top w:val="nil"/>
              <w:left w:val="nil"/>
              <w:bottom w:val="nil"/>
              <w:right w:val="nil"/>
            </w:tcBorders>
            <w:shd w:val="clear" w:color="auto" w:fill="auto"/>
            <w:noWrap/>
            <w:vAlign w:val="bottom"/>
          </w:tcPr>
          <w:p w:rsidR="00E13D6A" w:rsidRDefault="00E13D6A" w:rsidP="00D231B9"/>
          <w:p w:rsidR="00BC15DF" w:rsidRPr="0066567F" w:rsidRDefault="00BC15DF" w:rsidP="00D231B9">
            <w:r w:rsidRPr="0066567F">
              <w:t>Pots produced by specialized potters</w:t>
            </w:r>
          </w:p>
        </w:tc>
        <w:tc>
          <w:tcPr>
            <w:tcW w:w="1240" w:type="dxa"/>
            <w:tcBorders>
              <w:top w:val="nil"/>
              <w:left w:val="nil"/>
              <w:bottom w:val="nil"/>
              <w:right w:val="nil"/>
            </w:tcBorders>
            <w:shd w:val="clear" w:color="auto" w:fill="auto"/>
            <w:noWrap/>
            <w:vAlign w:val="bottom"/>
          </w:tcPr>
          <w:p w:rsidR="00BC15DF" w:rsidRPr="0066567F" w:rsidRDefault="00BC15DF" w:rsidP="00D231B9">
            <w:pPr>
              <w:jc w:val="center"/>
            </w:pPr>
            <w:r w:rsidRPr="0066567F">
              <w:t>4</w:t>
            </w:r>
          </w:p>
        </w:tc>
        <w:tc>
          <w:tcPr>
            <w:tcW w:w="1480" w:type="dxa"/>
            <w:tcBorders>
              <w:top w:val="nil"/>
              <w:left w:val="nil"/>
              <w:bottom w:val="nil"/>
              <w:right w:val="nil"/>
            </w:tcBorders>
            <w:shd w:val="clear" w:color="auto" w:fill="auto"/>
            <w:noWrap/>
            <w:vAlign w:val="bottom"/>
          </w:tcPr>
          <w:p w:rsidR="00BC15DF" w:rsidRPr="0066567F" w:rsidRDefault="00BC15DF" w:rsidP="00D231B9">
            <w:pPr>
              <w:jc w:val="center"/>
            </w:pPr>
            <w:r w:rsidRPr="0066567F">
              <w:t>2.0-6.0</w:t>
            </w:r>
          </w:p>
        </w:tc>
        <w:tc>
          <w:tcPr>
            <w:tcW w:w="2580" w:type="dxa"/>
            <w:tcBorders>
              <w:top w:val="nil"/>
              <w:left w:val="nil"/>
              <w:bottom w:val="nil"/>
              <w:right w:val="nil"/>
            </w:tcBorders>
            <w:shd w:val="clear" w:color="auto" w:fill="auto"/>
            <w:noWrap/>
            <w:vAlign w:val="bottom"/>
          </w:tcPr>
          <w:p w:rsidR="00BC15DF" w:rsidRPr="0066567F" w:rsidRDefault="00BC15DF" w:rsidP="00D231B9">
            <w:proofErr w:type="spellStart"/>
            <w:r w:rsidRPr="0066567F">
              <w:t>Longacre</w:t>
            </w:r>
            <w:proofErr w:type="spellEnd"/>
            <w:r w:rsidRPr="0066567F">
              <w:t xml:space="preserve"> 1999</w:t>
            </w:r>
          </w:p>
        </w:tc>
      </w:tr>
      <w:tr w:rsidR="00BC15DF" w:rsidRPr="0066567F" w:rsidTr="00D231B9">
        <w:trPr>
          <w:trHeight w:val="300"/>
        </w:trPr>
        <w:tc>
          <w:tcPr>
            <w:tcW w:w="3520" w:type="dxa"/>
            <w:tcBorders>
              <w:top w:val="nil"/>
              <w:left w:val="nil"/>
              <w:bottom w:val="nil"/>
              <w:right w:val="nil"/>
            </w:tcBorders>
            <w:shd w:val="clear" w:color="auto" w:fill="auto"/>
            <w:noWrap/>
            <w:vAlign w:val="bottom"/>
          </w:tcPr>
          <w:p w:rsidR="00BC15DF" w:rsidRPr="0066567F" w:rsidRDefault="00BC15DF" w:rsidP="00D231B9">
            <w:r w:rsidRPr="0066567F">
              <w:t>Random uniform data</w:t>
            </w:r>
          </w:p>
        </w:tc>
        <w:tc>
          <w:tcPr>
            <w:tcW w:w="1240" w:type="dxa"/>
            <w:tcBorders>
              <w:top w:val="nil"/>
              <w:left w:val="nil"/>
              <w:bottom w:val="nil"/>
              <w:right w:val="nil"/>
            </w:tcBorders>
            <w:shd w:val="clear" w:color="auto" w:fill="auto"/>
            <w:noWrap/>
            <w:vAlign w:val="bottom"/>
          </w:tcPr>
          <w:p w:rsidR="00BC15DF" w:rsidRPr="0066567F" w:rsidRDefault="00BC15DF" w:rsidP="00D231B9">
            <w:pPr>
              <w:jc w:val="center"/>
            </w:pPr>
            <w:r w:rsidRPr="0066567F">
              <w:t>58</w:t>
            </w:r>
          </w:p>
        </w:tc>
        <w:tc>
          <w:tcPr>
            <w:tcW w:w="1480" w:type="dxa"/>
            <w:tcBorders>
              <w:top w:val="nil"/>
              <w:left w:val="nil"/>
              <w:bottom w:val="nil"/>
              <w:right w:val="nil"/>
            </w:tcBorders>
            <w:shd w:val="clear" w:color="auto" w:fill="auto"/>
            <w:noWrap/>
            <w:vAlign w:val="bottom"/>
          </w:tcPr>
          <w:p w:rsidR="00BC15DF" w:rsidRPr="0066567F" w:rsidRDefault="00BC15DF" w:rsidP="00D231B9">
            <w:pPr>
              <w:jc w:val="center"/>
            </w:pPr>
            <w:r w:rsidRPr="0066567F">
              <w:t>50-65</w:t>
            </w:r>
          </w:p>
        </w:tc>
        <w:tc>
          <w:tcPr>
            <w:tcW w:w="2580" w:type="dxa"/>
            <w:tcBorders>
              <w:top w:val="nil"/>
              <w:left w:val="nil"/>
              <w:bottom w:val="nil"/>
              <w:right w:val="nil"/>
            </w:tcBorders>
            <w:shd w:val="clear" w:color="auto" w:fill="auto"/>
            <w:noWrap/>
            <w:vAlign w:val="bottom"/>
          </w:tcPr>
          <w:p w:rsidR="00E13D6A" w:rsidRDefault="00E13D6A" w:rsidP="00D231B9"/>
          <w:p w:rsidR="00BC15DF" w:rsidRPr="0066567F" w:rsidRDefault="00BC15DF" w:rsidP="00D231B9">
            <w:proofErr w:type="spellStart"/>
            <w:r w:rsidRPr="0066567F">
              <w:t>Eerkens</w:t>
            </w:r>
            <w:proofErr w:type="spellEnd"/>
            <w:r w:rsidRPr="0066567F">
              <w:t xml:space="preserve"> and </w:t>
            </w:r>
            <w:proofErr w:type="spellStart"/>
            <w:r w:rsidRPr="0066567F">
              <w:t>Bettinger</w:t>
            </w:r>
            <w:proofErr w:type="spellEnd"/>
            <w:r w:rsidRPr="0066567F">
              <w:t xml:space="preserve"> 2001</w:t>
            </w:r>
          </w:p>
        </w:tc>
      </w:tr>
    </w:tbl>
    <w:p w:rsidR="00BC15DF" w:rsidRPr="0066567F" w:rsidRDefault="00BC15DF" w:rsidP="00BC15DF">
      <w:pPr>
        <w:spacing w:line="480" w:lineRule="auto"/>
      </w:pPr>
    </w:p>
    <w:p w:rsidR="00BC15DF" w:rsidRPr="0066567F" w:rsidRDefault="00BC15DF" w:rsidP="001B500D">
      <w:pPr>
        <w:spacing w:line="480" w:lineRule="auto"/>
        <w:ind w:firstLine="720"/>
      </w:pPr>
      <w:r w:rsidRPr="0066567F">
        <w:t xml:space="preserve">To define the upper baseline, </w:t>
      </w:r>
      <w:proofErr w:type="spellStart"/>
      <w:r w:rsidRPr="0066567F">
        <w:t>Eerkens</w:t>
      </w:r>
      <w:proofErr w:type="spellEnd"/>
      <w:r w:rsidRPr="0066567F">
        <w:t xml:space="preserve"> and </w:t>
      </w:r>
      <w:proofErr w:type="spellStart"/>
      <w:r w:rsidRPr="0066567F">
        <w:t>Bettinger</w:t>
      </w:r>
      <w:proofErr w:type="spellEnd"/>
      <w:r w:rsidRPr="0066567F">
        <w:t xml:space="preserve"> (2001:495-496) describe a simulated data set with the characteristics of a uniform distribution, such that any number in a given range of values will have an equal chance of being drawn. Such a distribution with range from 0 to </w:t>
      </w:r>
      <w:r w:rsidRPr="0066567F">
        <w:rPr>
          <w:i/>
        </w:rPr>
        <w:t>X</w:t>
      </w:r>
      <w:r w:rsidRPr="0066567F">
        <w:t xml:space="preserve">, and a mean of </w:t>
      </w:r>
      <w:r w:rsidRPr="0066567F">
        <w:rPr>
          <w:i/>
        </w:rPr>
        <w:t>X</w:t>
      </w:r>
      <w:r w:rsidRPr="0066567F">
        <w:t xml:space="preserve">/2 will generate </w:t>
      </w:r>
      <w:r w:rsidRPr="0066567F">
        <w:rPr>
          <w:i/>
        </w:rPr>
        <w:t>CV</w:t>
      </w:r>
      <w:r w:rsidRPr="0066567F">
        <w:t>s ranging from 50</w:t>
      </w:r>
      <w:r w:rsidR="00E13D6A">
        <w:t>-</w:t>
      </w:r>
      <w:r w:rsidRPr="0066567F">
        <w:t>65</w:t>
      </w:r>
      <w:r w:rsidR="001B500D">
        <w:t xml:space="preserve"> % (approximately, see table 1). </w:t>
      </w:r>
      <w:r w:rsidRPr="0066567F">
        <w:t xml:space="preserve">This result can be simulated using randomly drawn numbers ranging from 1 to 200 and generating random samples of sample size 20 drawn without replacement (no number repeated per simulated sample) from the larger population of 200 numbers.  Thus if attribute measurement sets approach this threshold, then differences in measurements are likely the result of chance or a </w:t>
      </w:r>
      <w:proofErr w:type="spellStart"/>
      <w:r w:rsidRPr="0066567F">
        <w:t>distinterest</w:t>
      </w:r>
      <w:proofErr w:type="spellEnd"/>
      <w:r w:rsidRPr="0066567F">
        <w:t xml:space="preserve"> in precise reproduction of a particular attribute. </w:t>
      </w:r>
    </w:p>
    <w:p w:rsidR="00BC15DF" w:rsidRPr="0066567F" w:rsidRDefault="00BC15DF" w:rsidP="00BC15DF">
      <w:pPr>
        <w:spacing w:line="480" w:lineRule="auto"/>
      </w:pPr>
      <w:r w:rsidRPr="0066567F">
        <w:rPr>
          <w:i/>
        </w:rPr>
        <w:t>Attribute scale analysis as an approach to identifying standardization</w:t>
      </w:r>
    </w:p>
    <w:p w:rsidR="003D1B06" w:rsidRDefault="001B500D" w:rsidP="00BC15DF">
      <w:pPr>
        <w:spacing w:line="480" w:lineRule="auto"/>
        <w:ind w:firstLine="720"/>
      </w:pPr>
      <w:r w:rsidRPr="00590DD1">
        <w:t xml:space="preserve">Barbara </w:t>
      </w:r>
      <w:proofErr w:type="spellStart"/>
      <w:r w:rsidRPr="00590DD1">
        <w:t>Luedtke</w:t>
      </w:r>
      <w:proofErr w:type="spellEnd"/>
      <w:r w:rsidRPr="00590DD1">
        <w:t xml:space="preserve"> (1986:90)</w:t>
      </w:r>
      <w:r w:rsidR="00BC15DF" w:rsidRPr="00E13D6A">
        <w:rPr>
          <w:color w:val="FF0000"/>
        </w:rPr>
        <w:t xml:space="preserve"> </w:t>
      </w:r>
      <w:r w:rsidR="00BC15DF" w:rsidRPr="0066567F">
        <w:t>argued that a productive approach to understanding the past is entailed in “dimensional descriptive systems” wherein archaeological materials are described in terms of “a series of independent attributes which vary along continua and are measurable.”  Explaining the distribution of particular attributes of Egyptian ceramics in general</w:t>
      </w:r>
      <w:r w:rsidR="00D231B9">
        <w:t>,</w:t>
      </w:r>
      <w:r w:rsidR="00BC15DF" w:rsidRPr="0066567F">
        <w:t xml:space="preserve"> and starting with the </w:t>
      </w:r>
      <w:proofErr w:type="spellStart"/>
      <w:r w:rsidR="00BC15DF" w:rsidRPr="0066567F">
        <w:t>Meidum</w:t>
      </w:r>
      <w:proofErr w:type="spellEnd"/>
      <w:r w:rsidR="00BC15DF" w:rsidRPr="0066567F">
        <w:t xml:space="preserve"> Bowl</w:t>
      </w:r>
      <w:r w:rsidR="003D1B06">
        <w:t>,</w:t>
      </w:r>
      <w:r w:rsidR="00BC15DF" w:rsidRPr="0066567F">
        <w:t xml:space="preserve"> calls for a theoretical framework that will link the phenomenon of close </w:t>
      </w:r>
      <w:r w:rsidR="00BC15DF" w:rsidRPr="0066567F">
        <w:lastRenderedPageBreak/>
        <w:t>metric similarity to mechanisms of transmission that act to sort varia</w:t>
      </w:r>
      <w:r w:rsidR="002E2AF6">
        <w:t xml:space="preserve">tion. To do so requires some reconsideration of traditional Egyptian ceramic typologies. </w:t>
      </w:r>
    </w:p>
    <w:p w:rsidR="00BC15DF" w:rsidRPr="0066567F" w:rsidRDefault="00BC15DF" w:rsidP="00BC15DF">
      <w:pPr>
        <w:spacing w:line="480" w:lineRule="auto"/>
        <w:ind w:firstLine="720"/>
      </w:pPr>
      <w:r w:rsidRPr="0066567F">
        <w:t>The notion “</w:t>
      </w:r>
      <w:proofErr w:type="spellStart"/>
      <w:r w:rsidRPr="0066567F">
        <w:t>Meidum</w:t>
      </w:r>
      <w:proofErr w:type="spellEnd"/>
      <w:r w:rsidRPr="0066567F">
        <w:t xml:space="preserve"> bowl,” is a descriptive category, and has been used as such in the </w:t>
      </w:r>
      <w:proofErr w:type="spellStart"/>
      <w:r w:rsidRPr="0066567F">
        <w:t>Egyptological</w:t>
      </w:r>
      <w:proofErr w:type="spellEnd"/>
      <w:r w:rsidRPr="0066567F">
        <w:t xml:space="preserve"> literature (i.e. </w:t>
      </w:r>
      <w:proofErr w:type="spellStart"/>
      <w:r w:rsidRPr="0066567F">
        <w:t>Hendrickx</w:t>
      </w:r>
      <w:proofErr w:type="spellEnd"/>
      <w:r w:rsidRPr="0066567F">
        <w:t xml:space="preserve"> 2002; </w:t>
      </w:r>
      <w:r w:rsidR="008255BD">
        <w:t xml:space="preserve">Op de </w:t>
      </w:r>
      <w:proofErr w:type="spellStart"/>
      <w:r w:rsidR="008255BD">
        <w:t>Beeck</w:t>
      </w:r>
      <w:proofErr w:type="spellEnd"/>
      <w:r w:rsidR="008255BD">
        <w:t xml:space="preserve"> 2004, </w:t>
      </w:r>
      <w:proofErr w:type="spellStart"/>
      <w:r w:rsidRPr="0066567F">
        <w:t>Raue</w:t>
      </w:r>
      <w:proofErr w:type="spellEnd"/>
      <w:r w:rsidRPr="0066567F">
        <w:t xml:space="preserve"> in Kaiser et al. 1999).  This group of objects is relatively easy to break down into dimensions, however, to better assess changes in variation over time.  This object can be described as consistently having a mouth wider than the base (thus making it a bowl), and a </w:t>
      </w:r>
      <w:proofErr w:type="spellStart"/>
      <w:r w:rsidRPr="0066567F">
        <w:t>recurved</w:t>
      </w:r>
      <w:proofErr w:type="spellEnd"/>
      <w:r w:rsidRPr="0066567F">
        <w:t xml:space="preserve"> or beveled rim.  Attribute variation comes in the form of bevel morphology, diameter, fabric and surface treatment (though most objects that exhibit the dimensional characteristics of the </w:t>
      </w:r>
      <w:proofErr w:type="spellStart"/>
      <w:r w:rsidRPr="0066567F">
        <w:t>Meidum</w:t>
      </w:r>
      <w:proofErr w:type="spellEnd"/>
      <w:r w:rsidRPr="0066567F">
        <w:t xml:space="preserve"> bowl have a highly polished red slipped surface).  In order to examine a large sample of bowls, it was necessary to construct a classification for rim </w:t>
      </w:r>
      <w:proofErr w:type="spellStart"/>
      <w:r w:rsidRPr="0066567F">
        <w:t>sherds</w:t>
      </w:r>
      <w:proofErr w:type="spellEnd"/>
      <w:r w:rsidRPr="0066567F">
        <w:t xml:space="preserve">, rather than entire vessels.  Nonetheless, in the case of the </w:t>
      </w:r>
      <w:proofErr w:type="spellStart"/>
      <w:r w:rsidRPr="0066567F">
        <w:t>Meidum</w:t>
      </w:r>
      <w:proofErr w:type="spellEnd"/>
      <w:r w:rsidRPr="0066567F">
        <w:t xml:space="preserve"> bowl, the rim sherd retains most of the measurable variation of an entire vessel.  </w:t>
      </w:r>
    </w:p>
    <w:p w:rsidR="007F12FB" w:rsidRPr="001C056C" w:rsidRDefault="00BC15DF" w:rsidP="001C056C">
      <w:pPr>
        <w:spacing w:line="480" w:lineRule="auto"/>
      </w:pPr>
      <w:r w:rsidRPr="0066567F">
        <w:t xml:space="preserve"> </w:t>
      </w:r>
    </w:p>
    <w:p w:rsidR="00A96E62" w:rsidRPr="00B23A11" w:rsidRDefault="00A96E62" w:rsidP="00B23A11">
      <w:pPr>
        <w:pStyle w:val="Body"/>
        <w:tabs>
          <w:tab w:val="clear" w:pos="3140"/>
        </w:tabs>
        <w:spacing w:before="0"/>
        <w:ind w:right="240" w:firstLine="0"/>
        <w:jc w:val="center"/>
        <w:rPr>
          <w:b/>
          <w:bCs/>
        </w:rPr>
      </w:pPr>
      <w:r w:rsidRPr="0066567F">
        <w:rPr>
          <w:b/>
          <w:bCs/>
        </w:rPr>
        <w:t>Objects of study</w:t>
      </w:r>
      <w:r w:rsidRPr="0066567F">
        <w:t xml:space="preserve">  </w:t>
      </w:r>
      <w:r w:rsidRPr="0066567F">
        <w:tab/>
      </w:r>
    </w:p>
    <w:p w:rsidR="00E45CE9" w:rsidRPr="00A33F23" w:rsidRDefault="00A96E62" w:rsidP="00A33F23">
      <w:pPr>
        <w:spacing w:line="480" w:lineRule="auto"/>
        <w:ind w:firstLine="720"/>
        <w:rPr>
          <w:bCs/>
        </w:rPr>
      </w:pPr>
      <w:r w:rsidRPr="0066567F">
        <w:t xml:space="preserve">Because the </w:t>
      </w:r>
      <w:proofErr w:type="spellStart"/>
      <w:r w:rsidRPr="0066567F">
        <w:t>Meidum</w:t>
      </w:r>
      <w:proofErr w:type="spellEnd"/>
      <w:r w:rsidRPr="0066567F">
        <w:t xml:space="preserve"> bowl has a distinctive rim, measurements on the construction of this rim were compared to determine if there are local differences in manufacturing techniques, which would be consistent with general observations based on the artistic representations of po</w:t>
      </w:r>
      <w:r w:rsidR="009A2E1C">
        <w:t xml:space="preserve">tters at work.  </w:t>
      </w:r>
      <w:r w:rsidRPr="0066567F">
        <w:t xml:space="preserve">Rim construction varies a great deal between sites and thus is a reasonable focus for measuring local differences in manufacturing techniques.  The work presented here builds on the observations of many others with regard to changes in </w:t>
      </w:r>
      <w:proofErr w:type="spellStart"/>
      <w:r w:rsidRPr="0066567F">
        <w:t>Meidum</w:t>
      </w:r>
      <w:proofErr w:type="spellEnd"/>
      <w:r w:rsidRPr="0066567F">
        <w:t xml:space="preserve"> bowls over time (e.g. Ballet</w:t>
      </w:r>
      <w:r w:rsidRPr="0066567F">
        <w:rPr>
          <w:smallCaps/>
        </w:rPr>
        <w:t xml:space="preserve"> </w:t>
      </w:r>
      <w:r w:rsidRPr="0066567F">
        <w:t>1987</w:t>
      </w:r>
      <w:r w:rsidR="0007243C">
        <w:t>;</w:t>
      </w:r>
      <w:r w:rsidRPr="0066567F">
        <w:rPr>
          <w:b/>
          <w:bCs/>
        </w:rPr>
        <w:t xml:space="preserve"> </w:t>
      </w:r>
      <w:r w:rsidR="0007243C">
        <w:t xml:space="preserve">Op de </w:t>
      </w:r>
      <w:proofErr w:type="spellStart"/>
      <w:r w:rsidR="0007243C">
        <w:t>Beeck</w:t>
      </w:r>
      <w:proofErr w:type="spellEnd"/>
      <w:r w:rsidR="0007243C">
        <w:t xml:space="preserve"> 2004, and </w:t>
      </w:r>
      <w:proofErr w:type="spellStart"/>
      <w:r w:rsidRPr="0066567F">
        <w:t>Wenke</w:t>
      </w:r>
      <w:proofErr w:type="spellEnd"/>
      <w:r w:rsidRPr="0066567F">
        <w:t xml:space="preserve"> and Brewer</w:t>
      </w:r>
      <w:r w:rsidRPr="0066567F">
        <w:rPr>
          <w:smallCaps/>
        </w:rPr>
        <w:t xml:space="preserve"> </w:t>
      </w:r>
      <w:r w:rsidRPr="0066567F">
        <w:t>1995), manufacturing and function (e.</w:t>
      </w:r>
      <w:r w:rsidR="007956AF" w:rsidRPr="0066567F">
        <w:t xml:space="preserve">g. Arnold and </w:t>
      </w:r>
      <w:proofErr w:type="spellStart"/>
      <w:r w:rsidR="007956AF" w:rsidRPr="0066567F">
        <w:t>Bourriau</w:t>
      </w:r>
      <w:proofErr w:type="spellEnd"/>
      <w:r w:rsidR="007956AF" w:rsidRPr="0066567F">
        <w:t xml:space="preserve"> 1993:</w:t>
      </w:r>
      <w:r w:rsidRPr="0066567F">
        <w:t>40,</w:t>
      </w:r>
      <w:r w:rsidRPr="0066567F">
        <w:rPr>
          <w:b/>
        </w:rPr>
        <w:t xml:space="preserve"> </w:t>
      </w:r>
      <w:proofErr w:type="spellStart"/>
      <w:r w:rsidRPr="0066567F">
        <w:t>Bourriau</w:t>
      </w:r>
      <w:proofErr w:type="spellEnd"/>
      <w:r w:rsidRPr="0066567F">
        <w:t xml:space="preserve"> 1981</w:t>
      </w:r>
      <w:r w:rsidRPr="0066567F">
        <w:rPr>
          <w:b/>
          <w:bCs/>
        </w:rPr>
        <w:t xml:space="preserve">, </w:t>
      </w:r>
      <w:proofErr w:type="spellStart"/>
      <w:r w:rsidRPr="0066567F">
        <w:t>Vandiver</w:t>
      </w:r>
      <w:proofErr w:type="spellEnd"/>
      <w:r w:rsidRPr="0066567F">
        <w:t xml:space="preserve"> and </w:t>
      </w:r>
      <w:proofErr w:type="spellStart"/>
      <w:r w:rsidRPr="0066567F">
        <w:t>Lacovara</w:t>
      </w:r>
      <w:proofErr w:type="spellEnd"/>
      <w:r w:rsidRPr="0066567F">
        <w:t xml:space="preserve"> 1985/6</w:t>
      </w:r>
      <w:r w:rsidRPr="0066567F">
        <w:rPr>
          <w:bCs/>
        </w:rPr>
        <w:t xml:space="preserve"> </w:t>
      </w:r>
      <w:r w:rsidRPr="0066567F">
        <w:t>and</w:t>
      </w:r>
      <w:r w:rsidRPr="0066567F">
        <w:rPr>
          <w:b/>
        </w:rPr>
        <w:t xml:space="preserve"> </w:t>
      </w:r>
      <w:proofErr w:type="spellStart"/>
      <w:r w:rsidRPr="0066567F">
        <w:t>Hendrickx</w:t>
      </w:r>
      <w:proofErr w:type="spellEnd"/>
      <w:r w:rsidRPr="0066567F">
        <w:t xml:space="preserve"> et </w:t>
      </w:r>
      <w:r w:rsidRPr="0066567F">
        <w:lastRenderedPageBreak/>
        <w:t>al. 2002)</w:t>
      </w:r>
      <w:r w:rsidRPr="0066567F">
        <w:rPr>
          <w:b/>
          <w:bCs/>
        </w:rPr>
        <w:t xml:space="preserve">, </w:t>
      </w:r>
      <w:r w:rsidRPr="0066567F">
        <w:t>and the general role of space in sorting ceramic variation over time (e.g. Petrie 1898</w:t>
      </w:r>
      <w:r w:rsidRPr="0066567F">
        <w:rPr>
          <w:bCs/>
        </w:rPr>
        <w:t xml:space="preserve"> </w:t>
      </w:r>
      <w:r w:rsidRPr="0066567F">
        <w:t>and</w:t>
      </w:r>
      <w:r w:rsidRPr="0066567F">
        <w:rPr>
          <w:b/>
        </w:rPr>
        <w:t xml:space="preserve"> </w:t>
      </w:r>
      <w:proofErr w:type="spellStart"/>
      <w:r w:rsidRPr="0066567F">
        <w:t>Seidlmayer</w:t>
      </w:r>
      <w:proofErr w:type="spellEnd"/>
      <w:r w:rsidRPr="0066567F">
        <w:t xml:space="preserve"> 1990)</w:t>
      </w:r>
      <w:r w:rsidRPr="0066567F">
        <w:rPr>
          <w:bCs/>
        </w:rPr>
        <w:t>.</w:t>
      </w:r>
    </w:p>
    <w:p w:rsidR="009540D4" w:rsidRPr="009540D4" w:rsidRDefault="00A96E62" w:rsidP="00E45CE9">
      <w:pPr>
        <w:spacing w:line="480" w:lineRule="auto"/>
        <w:ind w:firstLine="720"/>
        <w:rPr>
          <w:color w:val="FF0000"/>
        </w:rPr>
      </w:pPr>
      <w:r w:rsidRPr="0066567F">
        <w:t xml:space="preserve">Objects from contexts with known </w:t>
      </w:r>
      <w:r w:rsidR="007956AF" w:rsidRPr="0066567F">
        <w:t xml:space="preserve">Dynastic attribution </w:t>
      </w:r>
      <w:r w:rsidRPr="0066567F">
        <w:t xml:space="preserve">were compared for differences in measurements of morphological attributes.  The combined information from these analyses inform as to the geographic scale of connectedness between communities.  </w:t>
      </w:r>
    </w:p>
    <w:p w:rsidR="009540D4" w:rsidRPr="00F2696F" w:rsidRDefault="009540D4" w:rsidP="00A06B36">
      <w:pPr>
        <w:spacing w:line="480" w:lineRule="auto"/>
      </w:pPr>
    </w:p>
    <w:p w:rsidR="00A96E62" w:rsidRPr="0066567F" w:rsidRDefault="00A96E62" w:rsidP="00816932">
      <w:pPr>
        <w:spacing w:line="360" w:lineRule="auto"/>
        <w:rPr>
          <w:b/>
          <w:bCs/>
        </w:rPr>
      </w:pPr>
      <w:r w:rsidRPr="0066567F">
        <w:rPr>
          <w:b/>
          <w:bCs/>
        </w:rPr>
        <w:t>Assemblages</w:t>
      </w:r>
    </w:p>
    <w:p w:rsidR="00A96E62" w:rsidRPr="0066567F" w:rsidRDefault="00A96E62" w:rsidP="00816932">
      <w:pPr>
        <w:pStyle w:val="Body"/>
        <w:tabs>
          <w:tab w:val="clear" w:pos="3140"/>
        </w:tabs>
        <w:spacing w:before="0"/>
        <w:ind w:right="240" w:firstLine="0"/>
      </w:pPr>
      <w:r w:rsidRPr="0066567F">
        <w:rPr>
          <w:b/>
          <w:bCs/>
        </w:rPr>
        <w:tab/>
      </w:r>
      <w:r w:rsidRPr="0066567F">
        <w:t xml:space="preserve">Three assemblages; Elephantine, Giza and the </w:t>
      </w:r>
      <w:proofErr w:type="spellStart"/>
      <w:r w:rsidRPr="0066567F">
        <w:t>Teti</w:t>
      </w:r>
      <w:proofErr w:type="spellEnd"/>
      <w:r w:rsidRPr="0066567F">
        <w:t xml:space="preserve"> Pyramid are compared to </w:t>
      </w:r>
      <w:proofErr w:type="spellStart"/>
      <w:r w:rsidRPr="0066567F">
        <w:t>Kom</w:t>
      </w:r>
      <w:proofErr w:type="spellEnd"/>
      <w:r w:rsidRPr="0066567F">
        <w:t xml:space="preserve"> el-</w:t>
      </w:r>
      <w:proofErr w:type="spellStart"/>
      <w:r w:rsidRPr="0066567F">
        <w:t>Hisn</w:t>
      </w:r>
      <w:proofErr w:type="spellEnd"/>
      <w:r w:rsidRPr="0066567F">
        <w:t xml:space="preserve"> to examine morphological similarities between vessels.  </w:t>
      </w:r>
      <w:r w:rsidR="007956AF" w:rsidRPr="0066567F">
        <w:t xml:space="preserve">The objects of study from the </w:t>
      </w:r>
      <w:proofErr w:type="spellStart"/>
      <w:r w:rsidRPr="0066567F">
        <w:t>Kom</w:t>
      </w:r>
      <w:proofErr w:type="spellEnd"/>
      <w:r w:rsidRPr="0066567F">
        <w:t xml:space="preserve"> el-</w:t>
      </w:r>
      <w:proofErr w:type="spellStart"/>
      <w:r w:rsidRPr="0066567F">
        <w:t>Hisn</w:t>
      </w:r>
      <w:proofErr w:type="spellEnd"/>
      <w:r w:rsidRPr="0066567F">
        <w:t xml:space="preserve">, Elephantine and Giza </w:t>
      </w:r>
      <w:r w:rsidR="007956AF" w:rsidRPr="0066567F">
        <w:t xml:space="preserve">assemblages </w:t>
      </w:r>
      <w:r w:rsidRPr="0066567F">
        <w:t xml:space="preserve">are field collections.  The material from </w:t>
      </w:r>
      <w:proofErr w:type="spellStart"/>
      <w:r w:rsidRPr="0066567F">
        <w:t>Teti</w:t>
      </w:r>
      <w:proofErr w:type="spellEnd"/>
      <w:r w:rsidRPr="0066567F">
        <w:t xml:space="preserve"> is represented by scaled drawings.  </w:t>
      </w:r>
    </w:p>
    <w:p w:rsidR="00A96E62" w:rsidRPr="0066567F" w:rsidRDefault="00A96E62" w:rsidP="00EB3926">
      <w:pPr>
        <w:pStyle w:val="Body"/>
        <w:tabs>
          <w:tab w:val="clear" w:pos="3140"/>
        </w:tabs>
        <w:spacing w:before="0"/>
        <w:ind w:right="240" w:firstLine="0"/>
        <w:rPr>
          <w:i/>
          <w:iCs/>
        </w:rPr>
      </w:pPr>
      <w:proofErr w:type="spellStart"/>
      <w:r w:rsidRPr="0066567F">
        <w:rPr>
          <w:i/>
          <w:iCs/>
        </w:rPr>
        <w:t>Kom</w:t>
      </w:r>
      <w:proofErr w:type="spellEnd"/>
      <w:r w:rsidRPr="0066567F">
        <w:rPr>
          <w:i/>
          <w:iCs/>
        </w:rPr>
        <w:t xml:space="preserve"> el-</w:t>
      </w:r>
      <w:proofErr w:type="spellStart"/>
      <w:r w:rsidRPr="0066567F">
        <w:rPr>
          <w:i/>
          <w:iCs/>
        </w:rPr>
        <w:t>Hisn</w:t>
      </w:r>
      <w:proofErr w:type="spellEnd"/>
    </w:p>
    <w:p w:rsidR="00A96E62" w:rsidRPr="0066567F" w:rsidRDefault="00A96E62" w:rsidP="00816932">
      <w:pPr>
        <w:pStyle w:val="Body"/>
        <w:tabs>
          <w:tab w:val="clear" w:pos="3140"/>
        </w:tabs>
        <w:spacing w:before="0"/>
        <w:ind w:right="240" w:firstLine="0"/>
        <w:rPr>
          <w:noProof/>
        </w:rPr>
      </w:pPr>
      <w:r w:rsidRPr="0066567F">
        <w:rPr>
          <w:noProof/>
        </w:rPr>
        <w:tab/>
        <w:t>Evidence of a later Old Kingdom occupation at Kom el-Hisn comes from royal sealings dating to the 5</w:t>
      </w:r>
      <w:r w:rsidRPr="0066567F">
        <w:rPr>
          <w:noProof/>
          <w:vertAlign w:val="superscript"/>
        </w:rPr>
        <w:t>th</w:t>
      </w:r>
      <w:r w:rsidRPr="0066567F">
        <w:rPr>
          <w:noProof/>
        </w:rPr>
        <w:t xml:space="preserve"> and 6</w:t>
      </w:r>
      <w:r w:rsidRPr="0066567F">
        <w:rPr>
          <w:noProof/>
          <w:vertAlign w:val="superscript"/>
        </w:rPr>
        <w:t>th</w:t>
      </w:r>
      <w:r w:rsidRPr="0066567F">
        <w:rPr>
          <w:noProof/>
        </w:rPr>
        <w:t xml:space="preserve"> Dynasties.  Sealings from this time frame were found near  the surface in parts of the site where there are between two and three meters of underlying cultural deposits, suggesting a relatively deep occupation, possibly dating to the 4</w:t>
      </w:r>
      <w:r w:rsidRPr="0066567F">
        <w:rPr>
          <w:noProof/>
          <w:vertAlign w:val="superscript"/>
        </w:rPr>
        <w:t>th</w:t>
      </w:r>
      <w:r w:rsidRPr="0066567F">
        <w:rPr>
          <w:noProof/>
        </w:rPr>
        <w:t xml:space="preserve"> Dynasty, which is consistent with the radiocarbon dates recovered from the site (Wenke et al. 1988:15).  </w:t>
      </w:r>
    </w:p>
    <w:p w:rsidR="000A4E40" w:rsidRPr="0066567F" w:rsidRDefault="00A96E62" w:rsidP="000A4E40">
      <w:pPr>
        <w:pStyle w:val="Body"/>
        <w:tabs>
          <w:tab w:val="clear" w:pos="3140"/>
        </w:tabs>
        <w:spacing w:before="0"/>
        <w:ind w:right="240"/>
      </w:pPr>
      <w:r w:rsidRPr="0066567F">
        <w:t xml:space="preserve">The largely domestic context </w:t>
      </w:r>
      <w:r w:rsidR="007956AF" w:rsidRPr="0066567F">
        <w:t xml:space="preserve">at </w:t>
      </w:r>
      <w:proofErr w:type="spellStart"/>
      <w:r w:rsidR="007956AF" w:rsidRPr="0066567F">
        <w:t>Kom</w:t>
      </w:r>
      <w:proofErr w:type="spellEnd"/>
      <w:r w:rsidR="007956AF" w:rsidRPr="0066567F">
        <w:t xml:space="preserve"> el-</w:t>
      </w:r>
      <w:proofErr w:type="spellStart"/>
      <w:r w:rsidR="007956AF" w:rsidRPr="0066567F">
        <w:t>Hisn</w:t>
      </w:r>
      <w:proofErr w:type="spellEnd"/>
      <w:r w:rsidR="007956AF" w:rsidRPr="0066567F">
        <w:t xml:space="preserve"> </w:t>
      </w:r>
      <w:r w:rsidRPr="0066567F">
        <w:t xml:space="preserve">produced a variety of different ceramic types.  Investigators saved and minimally described all </w:t>
      </w:r>
      <w:proofErr w:type="spellStart"/>
      <w:r w:rsidRPr="0066567F">
        <w:t>sherds</w:t>
      </w:r>
      <w:proofErr w:type="spellEnd"/>
      <w:r w:rsidRPr="0066567F">
        <w:t xml:space="preserve"> in terms of weight and fabric type.  Diagnostic </w:t>
      </w:r>
      <w:proofErr w:type="spellStart"/>
      <w:r w:rsidRPr="0066567F">
        <w:t>sherds</w:t>
      </w:r>
      <w:proofErr w:type="spellEnd"/>
      <w:r w:rsidRPr="0066567F">
        <w:t xml:space="preserve"> (rims and bases) were further typed according to a system based loosely on </w:t>
      </w:r>
      <w:proofErr w:type="spellStart"/>
      <w:r w:rsidRPr="0066567F">
        <w:t>Reisner’s</w:t>
      </w:r>
      <w:proofErr w:type="spellEnd"/>
      <w:r w:rsidRPr="0066567F">
        <w:t xml:space="preserve"> typology developed for assemblages from Giza (</w:t>
      </w:r>
      <w:proofErr w:type="spellStart"/>
      <w:r w:rsidRPr="0066567F">
        <w:t>Reisner</w:t>
      </w:r>
      <w:proofErr w:type="spellEnd"/>
      <w:r w:rsidRPr="0066567F">
        <w:t xml:space="preserve"> 1931; </w:t>
      </w:r>
      <w:proofErr w:type="spellStart"/>
      <w:r w:rsidRPr="0066567F">
        <w:t>Reisner</w:t>
      </w:r>
      <w:proofErr w:type="spellEnd"/>
      <w:r w:rsidRPr="0066567F">
        <w:t xml:space="preserve"> and Smith 1955).</w:t>
      </w:r>
      <w:r w:rsidRPr="0066567F">
        <w:rPr>
          <w:b/>
        </w:rPr>
        <w:t xml:space="preserve">  </w:t>
      </w:r>
      <w:r w:rsidRPr="0066567F">
        <w:t xml:space="preserve">Cagle (2001) identified 27 types, consisting primarily of bowls, jars, bread molds and trays.  Of interest for this study is the identification of type H, which is similar to </w:t>
      </w:r>
      <w:proofErr w:type="spellStart"/>
      <w:r w:rsidRPr="0066567F">
        <w:t>Reisner’s</w:t>
      </w:r>
      <w:proofErr w:type="spellEnd"/>
      <w:r w:rsidRPr="0066567F">
        <w:t xml:space="preserve"> type C-XXXII, otherwise known as the </w:t>
      </w:r>
      <w:proofErr w:type="spellStart"/>
      <w:r w:rsidRPr="0066567F">
        <w:t>Meidum</w:t>
      </w:r>
      <w:proofErr w:type="spellEnd"/>
      <w:r w:rsidRPr="0066567F">
        <w:t xml:space="preserve"> bowl (Cagle 2001:230).</w:t>
      </w:r>
      <w:r w:rsidRPr="0066567F">
        <w:rPr>
          <w:b/>
        </w:rPr>
        <w:t xml:space="preserve"> </w:t>
      </w:r>
      <w:r w:rsidR="007956AF" w:rsidRPr="0066567F">
        <w:rPr>
          <w:b/>
        </w:rPr>
        <w:t xml:space="preserve"> </w:t>
      </w:r>
      <w:r w:rsidR="007956AF" w:rsidRPr="0066567F">
        <w:t xml:space="preserve">This </w:t>
      </w:r>
      <w:r w:rsidR="007956AF" w:rsidRPr="0066567F">
        <w:lastRenderedPageBreak/>
        <w:t xml:space="preserve">assemblage includes 214 measured specimens collected from domestic deposits at </w:t>
      </w:r>
      <w:proofErr w:type="spellStart"/>
      <w:r w:rsidR="007956AF" w:rsidRPr="0066567F">
        <w:t>Kom</w:t>
      </w:r>
      <w:proofErr w:type="spellEnd"/>
      <w:r w:rsidR="007956AF" w:rsidRPr="0066567F">
        <w:t xml:space="preserve"> el-</w:t>
      </w:r>
      <w:proofErr w:type="spellStart"/>
      <w:r w:rsidR="007956AF" w:rsidRPr="0066567F">
        <w:t>Hisn</w:t>
      </w:r>
      <w:proofErr w:type="spellEnd"/>
      <w:r w:rsidR="007956AF" w:rsidRPr="0066567F">
        <w:t xml:space="preserve">. </w:t>
      </w:r>
    </w:p>
    <w:p w:rsidR="00A96E62" w:rsidRPr="0066567F" w:rsidRDefault="00A96E62" w:rsidP="00816932">
      <w:pPr>
        <w:spacing w:line="480" w:lineRule="auto"/>
        <w:ind w:right="240"/>
      </w:pPr>
      <w:r w:rsidRPr="0066567F">
        <w:rPr>
          <w:i/>
          <w:iCs/>
        </w:rPr>
        <w:t>Elephantine</w:t>
      </w:r>
    </w:p>
    <w:p w:rsidR="00A96E62" w:rsidRPr="0066567F" w:rsidRDefault="00A96E62" w:rsidP="00816932">
      <w:pPr>
        <w:spacing w:line="480" w:lineRule="auto"/>
        <w:ind w:right="240" w:firstLine="720"/>
      </w:pPr>
      <w:r w:rsidRPr="0066567F">
        <w:t xml:space="preserve">The southernmost assemblage in this study consists of </w:t>
      </w:r>
      <w:proofErr w:type="spellStart"/>
      <w:r w:rsidRPr="0066567F">
        <w:t>Meidum</w:t>
      </w:r>
      <w:proofErr w:type="spellEnd"/>
      <w:r w:rsidRPr="0066567F">
        <w:t xml:space="preserve"> bowls collected from the German Archaeological Institution’s excavations at Elephantine.  Elephantine is situated at the first cataract of the Nile and was the capital of the first Egyptian </w:t>
      </w:r>
      <w:proofErr w:type="spellStart"/>
      <w:r w:rsidRPr="0066567F">
        <w:t>nome</w:t>
      </w:r>
      <w:proofErr w:type="spellEnd"/>
      <w:r w:rsidRPr="0066567F">
        <w:t xml:space="preserve"> by the early Dynastic period.  Archaeological deposits at Elephantine are concentrated on the southern end of a rocky island in the middle of the Nile, west of the modern city of Aswan on the east bank of the river.  </w:t>
      </w:r>
    </w:p>
    <w:p w:rsidR="00A96E62" w:rsidRDefault="00A96E62" w:rsidP="001908D5">
      <w:pPr>
        <w:spacing w:line="480" w:lineRule="auto"/>
        <w:ind w:right="240" w:firstLine="720"/>
      </w:pPr>
      <w:r w:rsidRPr="0066567F">
        <w:t xml:space="preserve">The town at Elephantine appears to have come into maturity during the Old </w:t>
      </w:r>
      <w:proofErr w:type="gramStart"/>
      <w:r w:rsidRPr="0066567F">
        <w:t>Kingdom,</w:t>
      </w:r>
      <w:proofErr w:type="gramEnd"/>
      <w:r w:rsidRPr="0066567F">
        <w:t xml:space="preserve"> however, its significance was known from earlier times.  Elephantine’s position on a rocky outcrop in the middle of the Nile allowed the formation of highly stratified cultural deposits.  Therefore, archaeological material representing the period from the </w:t>
      </w:r>
      <w:proofErr w:type="spellStart"/>
      <w:r w:rsidRPr="0066567F">
        <w:t>Predynastic</w:t>
      </w:r>
      <w:proofErr w:type="spellEnd"/>
      <w:r w:rsidRPr="0066567F">
        <w:t xml:space="preserve"> through modern times is accessible, including 2</w:t>
      </w:r>
      <w:r w:rsidRPr="0066567F">
        <w:rPr>
          <w:vertAlign w:val="superscript"/>
        </w:rPr>
        <w:t>nd</w:t>
      </w:r>
      <w:r w:rsidRPr="0066567F">
        <w:t>- 6</w:t>
      </w:r>
      <w:r w:rsidRPr="0066567F">
        <w:rPr>
          <w:vertAlign w:val="superscript"/>
        </w:rPr>
        <w:t>th</w:t>
      </w:r>
      <w:r w:rsidRPr="0066567F">
        <w:t xml:space="preserve"> Dynasties.  </w:t>
      </w:r>
    </w:p>
    <w:p w:rsidR="00A06B36" w:rsidRPr="00A06B36" w:rsidRDefault="00A06B36" w:rsidP="00A06B36">
      <w:pPr>
        <w:pStyle w:val="BodyText"/>
        <w:spacing w:line="480" w:lineRule="auto"/>
        <w:ind w:right="240" w:firstLine="720"/>
        <w:rPr>
          <w:rFonts w:cs="Times New Roman"/>
          <w:sz w:val="24"/>
          <w:szCs w:val="24"/>
        </w:rPr>
      </w:pPr>
      <w:r w:rsidRPr="0066567F">
        <w:rPr>
          <w:sz w:val="24"/>
          <w:szCs w:val="24"/>
        </w:rPr>
        <w:t xml:space="preserve">The archaeological deposits at Elephantine are built on an uneven surface consisting of granite outcrops, therefore the construction of later architecture did not obliterate earlier constructions, and Old Kingdom deposits are readily accessible (Kemp 1989:69).  </w:t>
      </w:r>
      <w:proofErr w:type="spellStart"/>
      <w:r w:rsidRPr="0066567F">
        <w:rPr>
          <w:sz w:val="24"/>
          <w:szCs w:val="24"/>
        </w:rPr>
        <w:t>Predynastic</w:t>
      </w:r>
      <w:proofErr w:type="spellEnd"/>
      <w:r w:rsidRPr="0066567F">
        <w:rPr>
          <w:sz w:val="24"/>
          <w:szCs w:val="24"/>
        </w:rPr>
        <w:t xml:space="preserve"> </w:t>
      </w:r>
      <w:r w:rsidRPr="0066567F">
        <w:rPr>
          <w:bCs/>
          <w:sz w:val="24"/>
          <w:szCs w:val="24"/>
        </w:rPr>
        <w:t>material</w:t>
      </w:r>
      <w:r w:rsidRPr="0066567F">
        <w:rPr>
          <w:sz w:val="24"/>
          <w:szCs w:val="24"/>
        </w:rPr>
        <w:t xml:space="preserve"> built in between gaps are filled in and paved over, providing a series of stratified deposits that predate, include and postdate the Old Kingdom (Kemp 1989:69-70). </w:t>
      </w:r>
    </w:p>
    <w:p w:rsidR="00A96E62" w:rsidRPr="0066567F" w:rsidRDefault="00A96E62" w:rsidP="006F202B">
      <w:pPr>
        <w:spacing w:line="480" w:lineRule="auto"/>
        <w:ind w:right="240" w:firstLine="720"/>
      </w:pPr>
      <w:r w:rsidRPr="0066567F">
        <w:t xml:space="preserve">The bulk of the </w:t>
      </w:r>
      <w:proofErr w:type="spellStart"/>
      <w:r w:rsidRPr="0066567F">
        <w:t>Meidum</w:t>
      </w:r>
      <w:proofErr w:type="spellEnd"/>
      <w:r w:rsidRPr="0066567F">
        <w:t xml:space="preserve"> bowls from this assemblage come from the eastern island and are associated with the 1) settlement just outside the fortress, 2) environs of the </w:t>
      </w:r>
      <w:proofErr w:type="spellStart"/>
      <w:r w:rsidRPr="0066567F">
        <w:t>Satet</w:t>
      </w:r>
      <w:proofErr w:type="spellEnd"/>
      <w:r w:rsidRPr="0066567F">
        <w:t xml:space="preserve"> temple and 3) courtyards associated with the Eastern Settlement later in the Old Kingdom.  The assemblage consists of bowls representing time periods from the 2</w:t>
      </w:r>
      <w:r w:rsidRPr="0066567F">
        <w:rPr>
          <w:vertAlign w:val="superscript"/>
        </w:rPr>
        <w:t>nd</w:t>
      </w:r>
      <w:r w:rsidRPr="0066567F">
        <w:t xml:space="preserve"> -6</w:t>
      </w:r>
      <w:r w:rsidRPr="0066567F">
        <w:rPr>
          <w:vertAlign w:val="superscript"/>
        </w:rPr>
        <w:t>th</w:t>
      </w:r>
      <w:r w:rsidRPr="0066567F">
        <w:t xml:space="preserve"> Dynasties.  Therefore, </w:t>
      </w:r>
      <w:r w:rsidRPr="0066567F">
        <w:lastRenderedPageBreak/>
        <w:t>the Elephantine materials were subdivided into dynastic groups.  The large amount of production debris suggests a population at least partially cha</w:t>
      </w:r>
      <w:r w:rsidR="006F202B">
        <w:t>racterized by craft specialists</w:t>
      </w:r>
      <w:r w:rsidRPr="0066567F">
        <w:tab/>
        <w:t xml:space="preserve"> </w:t>
      </w:r>
    </w:p>
    <w:p w:rsidR="00A96E62" w:rsidRPr="0066567F" w:rsidRDefault="00A96E62" w:rsidP="00816932">
      <w:pPr>
        <w:spacing w:line="480" w:lineRule="auto"/>
        <w:ind w:right="240" w:firstLine="720"/>
        <w:rPr>
          <w:b/>
        </w:rPr>
      </w:pPr>
      <w:r w:rsidRPr="0066567F">
        <w:t xml:space="preserve">The </w:t>
      </w:r>
      <w:proofErr w:type="spellStart"/>
      <w:r w:rsidRPr="0066567F">
        <w:t>Satet</w:t>
      </w:r>
      <w:proofErr w:type="spellEnd"/>
      <w:r w:rsidRPr="0066567F">
        <w:t xml:space="preserve"> temple is a central feature of the Eastern Island and has been used and remodeled from </w:t>
      </w:r>
      <w:proofErr w:type="spellStart"/>
      <w:r w:rsidRPr="0066567F">
        <w:t>Predynastic</w:t>
      </w:r>
      <w:proofErr w:type="spellEnd"/>
      <w:r w:rsidRPr="0066567F">
        <w:t xml:space="preserve"> to Ptolemaic times (</w:t>
      </w:r>
      <w:proofErr w:type="spellStart"/>
      <w:r w:rsidRPr="0066567F">
        <w:t>Seidlmayer</w:t>
      </w:r>
      <w:proofErr w:type="spellEnd"/>
      <w:r w:rsidRPr="0066567F">
        <w:t xml:space="preserve"> 1996:112).</w:t>
      </w:r>
      <w:r w:rsidRPr="0066567F">
        <w:rPr>
          <w:b/>
        </w:rPr>
        <w:t xml:space="preserve">  </w:t>
      </w:r>
      <w:r w:rsidRPr="0066567F">
        <w:t xml:space="preserve">To the southeast of the </w:t>
      </w:r>
      <w:proofErr w:type="spellStart"/>
      <w:r w:rsidRPr="0066567F">
        <w:t>Satet</w:t>
      </w:r>
      <w:proofErr w:type="spellEnd"/>
      <w:r w:rsidRPr="0066567F">
        <w:t xml:space="preserve"> temple is a fortress associated with the 1</w:t>
      </w:r>
      <w:r w:rsidRPr="0066567F">
        <w:rPr>
          <w:vertAlign w:val="superscript"/>
        </w:rPr>
        <w:t>st</w:t>
      </w:r>
      <w:r w:rsidRPr="0066567F">
        <w:t xml:space="preserve"> through late 3</w:t>
      </w:r>
      <w:r w:rsidRPr="0066567F">
        <w:rPr>
          <w:vertAlign w:val="superscript"/>
        </w:rPr>
        <w:t>rd</w:t>
      </w:r>
      <w:r w:rsidRPr="0066567F">
        <w:t>/early 4</w:t>
      </w:r>
      <w:r w:rsidRPr="0066567F">
        <w:rPr>
          <w:vertAlign w:val="superscript"/>
        </w:rPr>
        <w:t>th</w:t>
      </w:r>
      <w:r w:rsidRPr="0066567F">
        <w:t xml:space="preserve"> Dynasties (Kaiser et al. 1993:140).  Lying southwest of both of these features is an Old Kingdom town which was occupied through the 6</w:t>
      </w:r>
      <w:r w:rsidRPr="0066567F">
        <w:rPr>
          <w:vertAlign w:val="superscript"/>
        </w:rPr>
        <w:t>th</w:t>
      </w:r>
      <w:r w:rsidRPr="0066567F">
        <w:t xml:space="preserve"> Dynasty (Kaiser et al. 1999).</w:t>
      </w:r>
      <w:r w:rsidRPr="0066567F">
        <w:rPr>
          <w:b/>
        </w:rPr>
        <w:t xml:space="preserve">  </w:t>
      </w:r>
    </w:p>
    <w:p w:rsidR="00A96E62" w:rsidRPr="0066567F" w:rsidRDefault="00A96E62" w:rsidP="00816932">
      <w:pPr>
        <w:spacing w:line="480" w:lineRule="auto"/>
        <w:ind w:right="240"/>
      </w:pPr>
      <w:r w:rsidRPr="0066567F">
        <w:tab/>
        <w:t xml:space="preserve">The Elephantine assemblage consisted of </w:t>
      </w:r>
      <w:r w:rsidR="00A65986">
        <w:t>30</w:t>
      </w:r>
      <w:r w:rsidR="00A236B9" w:rsidRPr="0066567F">
        <w:t xml:space="preserve"> </w:t>
      </w:r>
      <w:r w:rsidRPr="0066567F">
        <w:t>measurable objects</w:t>
      </w:r>
      <w:r w:rsidR="00A236B9" w:rsidRPr="0066567F">
        <w:t xml:space="preserve"> from contexts with Dynastic attribution</w:t>
      </w:r>
      <w:r w:rsidRPr="0066567F">
        <w:t xml:space="preserve">.  Sub-assemblages were created based on known Dynastic attribution.  </w:t>
      </w:r>
      <w:r w:rsidR="00A236B9" w:rsidRPr="0066567F">
        <w:t>The numbers of specimens by Dynasty is as follows;</w:t>
      </w:r>
    </w:p>
    <w:p w:rsidR="00A236B9" w:rsidRPr="0066567F" w:rsidRDefault="00A236B9" w:rsidP="00A236B9">
      <w:pPr>
        <w:pStyle w:val="ListParagraph"/>
      </w:pPr>
      <w:r w:rsidRPr="0066567F">
        <w:t>2</w:t>
      </w:r>
      <w:r w:rsidRPr="0066567F">
        <w:rPr>
          <w:vertAlign w:val="superscript"/>
        </w:rPr>
        <w:t>nd</w:t>
      </w:r>
      <w:r w:rsidR="000A4E40" w:rsidRPr="0066567F">
        <w:t xml:space="preserve"> Dynasty</w:t>
      </w:r>
      <w:r w:rsidRPr="0066567F">
        <w:t xml:space="preserve"> </w:t>
      </w:r>
      <w:r w:rsidR="000A4E40" w:rsidRPr="0066567F">
        <w:tab/>
      </w:r>
      <w:r w:rsidRPr="0066567F">
        <w:t xml:space="preserve">n= </w:t>
      </w:r>
      <w:r w:rsidR="00A65986">
        <w:tab/>
      </w:r>
      <w:r w:rsidRPr="0066567F">
        <w:t>10</w:t>
      </w:r>
    </w:p>
    <w:p w:rsidR="00A236B9" w:rsidRPr="0066567F" w:rsidRDefault="00A236B9" w:rsidP="00A236B9">
      <w:pPr>
        <w:pStyle w:val="ListParagraph"/>
      </w:pPr>
      <w:r w:rsidRPr="0066567F">
        <w:t>3</w:t>
      </w:r>
      <w:r w:rsidRPr="0066567F">
        <w:rPr>
          <w:vertAlign w:val="superscript"/>
        </w:rPr>
        <w:t>rd</w:t>
      </w:r>
      <w:r w:rsidRPr="0066567F">
        <w:t>/4</w:t>
      </w:r>
      <w:r w:rsidRPr="0066567F">
        <w:rPr>
          <w:vertAlign w:val="superscript"/>
        </w:rPr>
        <w:t>th</w:t>
      </w:r>
      <w:r w:rsidR="000A4E40" w:rsidRPr="0066567F">
        <w:tab/>
      </w:r>
      <w:r w:rsidR="000A4E40" w:rsidRPr="0066567F">
        <w:tab/>
      </w:r>
      <w:r w:rsidRPr="0066567F">
        <w:t>n=</w:t>
      </w:r>
      <w:r w:rsidR="00A65986">
        <w:tab/>
      </w:r>
      <w:r w:rsidRPr="0066567F">
        <w:t>14</w:t>
      </w:r>
    </w:p>
    <w:p w:rsidR="00A236B9" w:rsidRPr="0066567F" w:rsidRDefault="00A236B9" w:rsidP="00832953">
      <w:pPr>
        <w:pStyle w:val="ListParagraph"/>
      </w:pPr>
      <w:r w:rsidRPr="0066567F">
        <w:t>6</w:t>
      </w:r>
      <w:r w:rsidRPr="0066567F">
        <w:rPr>
          <w:vertAlign w:val="superscript"/>
        </w:rPr>
        <w:t>th</w:t>
      </w:r>
      <w:r w:rsidR="000A4E40" w:rsidRPr="0066567F">
        <w:tab/>
      </w:r>
      <w:r w:rsidR="000A4E40" w:rsidRPr="0066567F">
        <w:tab/>
      </w:r>
      <w:r w:rsidRPr="0066567F">
        <w:t>n=</w:t>
      </w:r>
      <w:r w:rsidR="00A65986">
        <w:tab/>
        <w:t xml:space="preserve">  </w:t>
      </w:r>
      <w:r w:rsidR="00F938ED" w:rsidRPr="0066567F">
        <w:t>6</w:t>
      </w:r>
    </w:p>
    <w:p w:rsidR="00832953" w:rsidRPr="0066567F" w:rsidRDefault="00832953" w:rsidP="00832953">
      <w:pPr>
        <w:pStyle w:val="ListParagraph"/>
      </w:pPr>
    </w:p>
    <w:p w:rsidR="00A96E62" w:rsidRPr="0066567F" w:rsidRDefault="00A96E62" w:rsidP="00816932">
      <w:pPr>
        <w:spacing w:line="480" w:lineRule="auto"/>
        <w:ind w:right="240"/>
        <w:rPr>
          <w:i/>
          <w:iCs/>
        </w:rPr>
      </w:pPr>
      <w:r w:rsidRPr="0066567F">
        <w:rPr>
          <w:i/>
          <w:iCs/>
        </w:rPr>
        <w:t>Giza</w:t>
      </w:r>
    </w:p>
    <w:p w:rsidR="00A96E62" w:rsidRPr="0066567F" w:rsidRDefault="00A96E62" w:rsidP="00816932">
      <w:pPr>
        <w:pStyle w:val="Body"/>
        <w:tabs>
          <w:tab w:val="clear" w:pos="3140"/>
        </w:tabs>
        <w:spacing w:before="0"/>
        <w:ind w:right="240"/>
      </w:pPr>
      <w:r w:rsidRPr="0066567F">
        <w:t xml:space="preserve">The material from the Giza plateau comes from two communities explicitly established for the workers and craftspeople involved with the construction of the </w:t>
      </w:r>
      <w:proofErr w:type="spellStart"/>
      <w:r w:rsidRPr="0066567F">
        <w:t>Menkaure</w:t>
      </w:r>
      <w:proofErr w:type="spellEnd"/>
      <w:r w:rsidRPr="0066567F">
        <w:t xml:space="preserve"> pyramid (late 4</w:t>
      </w:r>
      <w:r w:rsidRPr="0066567F">
        <w:rPr>
          <w:vertAlign w:val="superscript"/>
        </w:rPr>
        <w:t>th</w:t>
      </w:r>
      <w:r w:rsidRPr="0066567F">
        <w:t xml:space="preserve"> Dynasty, </w:t>
      </w:r>
      <w:proofErr w:type="spellStart"/>
      <w:r w:rsidRPr="0066567F">
        <w:t>sealings</w:t>
      </w:r>
      <w:proofErr w:type="spellEnd"/>
      <w:r w:rsidRPr="0066567F">
        <w:t xml:space="preserve"> bearing the name of </w:t>
      </w:r>
      <w:proofErr w:type="spellStart"/>
      <w:r w:rsidRPr="0066567F">
        <w:t>Menkaure</w:t>
      </w:r>
      <w:proofErr w:type="spellEnd"/>
      <w:r w:rsidRPr="0066567F">
        <w:t xml:space="preserve">, constitute the bulk of the chronological evidence).  These communities would most likely be supported by imported material, thus the inhabitants of the Giza plateau were less likely to be involved in their own food production.  </w:t>
      </w:r>
    </w:p>
    <w:p w:rsidR="00A96E62" w:rsidRPr="0066567F" w:rsidRDefault="00A96E62" w:rsidP="00816932">
      <w:pPr>
        <w:pStyle w:val="Body"/>
        <w:tabs>
          <w:tab w:val="clear" w:pos="3140"/>
        </w:tabs>
        <w:spacing w:before="0"/>
        <w:ind w:right="240" w:firstLine="0"/>
      </w:pPr>
      <w:r w:rsidRPr="0066567F">
        <w:tab/>
        <w:t>The assemblage collected from the Giza plateau constitutes the largest assemblage used in this study</w:t>
      </w:r>
      <w:r w:rsidR="003A5B49" w:rsidRPr="0066567F">
        <w:t>;</w:t>
      </w:r>
      <w:r w:rsidRPr="0066567F">
        <w:t xml:space="preserve"> n=301.  The archaeological setting from which material was collected features highly regular architecture with walls built to apparently standard lengths and thicknesses, indicating a preplanned community.  Large amounts of charcoal, fish and animal bones and other settlement debris indicates a relatively large population.  </w:t>
      </w:r>
      <w:proofErr w:type="spellStart"/>
      <w:r w:rsidRPr="0066567F">
        <w:t>Lehner</w:t>
      </w:r>
      <w:proofErr w:type="spellEnd"/>
      <w:r w:rsidRPr="0066567F">
        <w:t xml:space="preserve"> (1992, 2000) </w:t>
      </w:r>
      <w:r w:rsidRPr="0066567F">
        <w:lastRenderedPageBreak/>
        <w:t xml:space="preserve">suggests that most of the foodstuffs brought to this location were imported from other communities. </w:t>
      </w:r>
    </w:p>
    <w:p w:rsidR="00A96E62" w:rsidRPr="0066567F" w:rsidRDefault="00A96E62" w:rsidP="00816932">
      <w:pPr>
        <w:pStyle w:val="Body"/>
        <w:tabs>
          <w:tab w:val="clear" w:pos="3140"/>
        </w:tabs>
        <w:spacing w:before="0"/>
        <w:ind w:right="240" w:firstLine="0"/>
      </w:pPr>
      <w:r w:rsidRPr="0066567F">
        <w:tab/>
        <w:t xml:space="preserve">The presence of the copper workshop and the series of structures designated </w:t>
      </w:r>
      <w:proofErr w:type="spellStart"/>
      <w:r w:rsidRPr="0066567F">
        <w:rPr>
          <w:i/>
          <w:iCs/>
        </w:rPr>
        <w:t>wb’t</w:t>
      </w:r>
      <w:proofErr w:type="spellEnd"/>
      <w:r w:rsidRPr="0066567F">
        <w:t xml:space="preserve"> of </w:t>
      </w:r>
      <w:proofErr w:type="spellStart"/>
      <w:r w:rsidRPr="0066567F">
        <w:t>Menkaure</w:t>
      </w:r>
      <w:proofErr w:type="spellEnd"/>
      <w:r w:rsidRPr="0066567F">
        <w:t xml:space="preserve"> are also of interest.  These features are likely associated with the large scale construction of the </w:t>
      </w:r>
      <w:proofErr w:type="spellStart"/>
      <w:r w:rsidRPr="0066567F">
        <w:t>Menkaure</w:t>
      </w:r>
      <w:proofErr w:type="spellEnd"/>
      <w:r w:rsidRPr="0066567F">
        <w:t xml:space="preserve"> pyramid.  The </w:t>
      </w:r>
      <w:proofErr w:type="gramStart"/>
      <w:r w:rsidRPr="0066567F">
        <w:t>material from this assemblage therefore, like</w:t>
      </w:r>
      <w:proofErr w:type="gramEnd"/>
      <w:r w:rsidRPr="0066567F">
        <w:t xml:space="preserve"> that of Elephantine, represents a community tied to the economics of producing monumental architecture.  </w:t>
      </w:r>
    </w:p>
    <w:p w:rsidR="00A96E62" w:rsidRPr="0066567F" w:rsidRDefault="00A96E62" w:rsidP="00816932">
      <w:pPr>
        <w:pStyle w:val="Body"/>
        <w:tabs>
          <w:tab w:val="clear" w:pos="3140"/>
        </w:tabs>
        <w:spacing w:before="0"/>
        <w:ind w:right="240" w:firstLine="0"/>
        <w:rPr>
          <w:i/>
          <w:iCs/>
        </w:rPr>
      </w:pPr>
      <w:proofErr w:type="spellStart"/>
      <w:r w:rsidRPr="0066567F">
        <w:rPr>
          <w:i/>
          <w:iCs/>
        </w:rPr>
        <w:t>Teti</w:t>
      </w:r>
      <w:proofErr w:type="spellEnd"/>
      <w:r w:rsidRPr="0066567F">
        <w:rPr>
          <w:i/>
          <w:iCs/>
        </w:rPr>
        <w:t xml:space="preserve"> Pyramid</w:t>
      </w:r>
    </w:p>
    <w:p w:rsidR="00A96E62" w:rsidRPr="0066567F" w:rsidRDefault="00A96E62" w:rsidP="00816932">
      <w:pPr>
        <w:pStyle w:val="BodyText3"/>
        <w:spacing w:line="480" w:lineRule="auto"/>
        <w:ind w:right="240"/>
        <w:rPr>
          <w:sz w:val="24"/>
          <w:szCs w:val="24"/>
        </w:rPr>
      </w:pPr>
      <w:r w:rsidRPr="0066567F">
        <w:rPr>
          <w:sz w:val="24"/>
          <w:szCs w:val="24"/>
        </w:rPr>
        <w:tab/>
      </w:r>
      <w:proofErr w:type="spellStart"/>
      <w:r w:rsidRPr="0066567F">
        <w:rPr>
          <w:sz w:val="24"/>
          <w:szCs w:val="24"/>
        </w:rPr>
        <w:t>Teti</w:t>
      </w:r>
      <w:proofErr w:type="spellEnd"/>
      <w:r w:rsidRPr="0066567F">
        <w:rPr>
          <w:sz w:val="24"/>
          <w:szCs w:val="24"/>
        </w:rPr>
        <w:t xml:space="preserve"> is considered the first king of the 6th Dynasty (ca 2300 BC).  </w:t>
      </w:r>
      <w:proofErr w:type="spellStart"/>
      <w:r w:rsidRPr="0066567F">
        <w:rPr>
          <w:sz w:val="24"/>
          <w:szCs w:val="24"/>
        </w:rPr>
        <w:t>Teti’s</w:t>
      </w:r>
      <w:proofErr w:type="spellEnd"/>
      <w:r w:rsidRPr="0066567F">
        <w:rPr>
          <w:sz w:val="24"/>
          <w:szCs w:val="24"/>
        </w:rPr>
        <w:t xml:space="preserve"> pyramid is located in North Saqqara, somewhat northeast of </w:t>
      </w:r>
      <w:proofErr w:type="spellStart"/>
      <w:r w:rsidRPr="0066567F">
        <w:rPr>
          <w:sz w:val="24"/>
          <w:szCs w:val="24"/>
        </w:rPr>
        <w:t>Djoser’s</w:t>
      </w:r>
      <w:proofErr w:type="spellEnd"/>
      <w:r w:rsidRPr="0066567F">
        <w:rPr>
          <w:sz w:val="24"/>
          <w:szCs w:val="24"/>
        </w:rPr>
        <w:t xml:space="preserve"> Step Pyramid.  The pyramid follows the prototype established by the pharaohs of the 5</w:t>
      </w:r>
      <w:r w:rsidRPr="0066567F">
        <w:rPr>
          <w:sz w:val="24"/>
          <w:szCs w:val="24"/>
          <w:vertAlign w:val="superscript"/>
        </w:rPr>
        <w:t>th</w:t>
      </w:r>
      <w:r w:rsidRPr="0066567F">
        <w:rPr>
          <w:sz w:val="24"/>
          <w:szCs w:val="24"/>
        </w:rPr>
        <w:t xml:space="preserve"> Dynasty, with dimensions almost identical to those of the pyramid of </w:t>
      </w:r>
      <w:proofErr w:type="spellStart"/>
      <w:r w:rsidRPr="0066567F">
        <w:rPr>
          <w:sz w:val="24"/>
          <w:szCs w:val="24"/>
        </w:rPr>
        <w:t>Djedkare-Isesi</w:t>
      </w:r>
      <w:proofErr w:type="spellEnd"/>
      <w:r w:rsidRPr="0066567F">
        <w:rPr>
          <w:sz w:val="24"/>
          <w:szCs w:val="24"/>
        </w:rPr>
        <w:t xml:space="preserve"> (late 5th Dynasty) (</w:t>
      </w:r>
      <w:proofErr w:type="spellStart"/>
      <w:r w:rsidRPr="0066567F">
        <w:rPr>
          <w:sz w:val="24"/>
          <w:szCs w:val="24"/>
        </w:rPr>
        <w:t>Lehner</w:t>
      </w:r>
      <w:proofErr w:type="spellEnd"/>
      <w:r w:rsidRPr="0066567F">
        <w:rPr>
          <w:sz w:val="24"/>
          <w:szCs w:val="24"/>
        </w:rPr>
        <w:t xml:space="preserve"> 1997:156). </w:t>
      </w:r>
    </w:p>
    <w:p w:rsidR="00A96E62" w:rsidRPr="0066567F" w:rsidRDefault="00A96E62" w:rsidP="00816932">
      <w:pPr>
        <w:pStyle w:val="Body"/>
        <w:tabs>
          <w:tab w:val="clear" w:pos="3140"/>
        </w:tabs>
        <w:spacing w:before="0"/>
        <w:ind w:right="240" w:firstLine="0"/>
      </w:pPr>
      <w:r w:rsidRPr="0066567F">
        <w:tab/>
        <w:t xml:space="preserve"> The University of Pennsylvania Expedition to Saqqara excavated the satellite pyramid of </w:t>
      </w:r>
      <w:proofErr w:type="spellStart"/>
      <w:r w:rsidRPr="0066567F">
        <w:t>Teti</w:t>
      </w:r>
      <w:proofErr w:type="spellEnd"/>
      <w:r w:rsidRPr="0066567F">
        <w:t xml:space="preserve"> I and environs in 1994-1995.  This smaller pyramid is located along the eastern side of the </w:t>
      </w:r>
      <w:proofErr w:type="spellStart"/>
      <w:r w:rsidRPr="0066567F">
        <w:t>Teti</w:t>
      </w:r>
      <w:proofErr w:type="spellEnd"/>
      <w:r w:rsidRPr="0066567F">
        <w:t xml:space="preserve"> pyramid, south of the sanctuary.  Because the pyramid is within the enclosure wall, which was doubtless built at the same time as the pyramid, it is reasonable to assume that material associated with the satellite pyramid is roughly contemporary with the construction dates for the </w:t>
      </w:r>
      <w:proofErr w:type="spellStart"/>
      <w:r w:rsidRPr="0066567F">
        <w:t>Teti</w:t>
      </w:r>
      <w:proofErr w:type="spellEnd"/>
      <w:r w:rsidRPr="0066567F">
        <w:t xml:space="preserve"> pyramid</w:t>
      </w:r>
      <w:r w:rsidR="00E660BB">
        <w:t>, starting around ca 2300 BC</w:t>
      </w:r>
      <w:r w:rsidRPr="0066567F">
        <w:t xml:space="preserve">.  </w:t>
      </w:r>
    </w:p>
    <w:p w:rsidR="004C0817" w:rsidRPr="00A65986" w:rsidRDefault="00A96E62" w:rsidP="00816932">
      <w:pPr>
        <w:pStyle w:val="Body"/>
        <w:tabs>
          <w:tab w:val="clear" w:pos="3140"/>
        </w:tabs>
        <w:spacing w:before="0"/>
        <w:ind w:right="240" w:firstLine="0"/>
      </w:pPr>
      <w:r w:rsidRPr="0066567F">
        <w:tab/>
        <w:t xml:space="preserve">Unlike other </w:t>
      </w:r>
      <w:proofErr w:type="spellStart"/>
      <w:r w:rsidRPr="0066567F">
        <w:t>Meidum</w:t>
      </w:r>
      <w:proofErr w:type="spellEnd"/>
      <w:r w:rsidRPr="0066567F">
        <w:t xml:space="preserve"> bowl examples employed in this study, the specimens from the </w:t>
      </w:r>
      <w:proofErr w:type="spellStart"/>
      <w:r w:rsidRPr="0066567F">
        <w:t>Teti</w:t>
      </w:r>
      <w:proofErr w:type="spellEnd"/>
      <w:r w:rsidRPr="0066567F">
        <w:t xml:space="preserve"> pyramid are represented by rim-sherd profile drawings contributed by the University of Pennsylvania Expedition to Saqqara.  </w:t>
      </w:r>
      <w:r w:rsidR="003A5B49" w:rsidRPr="0066567F">
        <w:t>This assemblage includes 60</w:t>
      </w:r>
      <w:r w:rsidRPr="0066567F">
        <w:t xml:space="preserve"> ceramic illustrations associated with the 6</w:t>
      </w:r>
      <w:r w:rsidRPr="0066567F">
        <w:rPr>
          <w:vertAlign w:val="superscript"/>
        </w:rPr>
        <w:t>th</w:t>
      </w:r>
      <w:r w:rsidRPr="0066567F">
        <w:t xml:space="preserve"> Dynasty. </w:t>
      </w:r>
    </w:p>
    <w:p w:rsidR="009A2E1C" w:rsidRDefault="009A2E1C" w:rsidP="00816932">
      <w:pPr>
        <w:pStyle w:val="Body"/>
        <w:tabs>
          <w:tab w:val="clear" w:pos="3140"/>
        </w:tabs>
        <w:spacing w:before="0"/>
        <w:ind w:right="240" w:firstLine="0"/>
        <w:rPr>
          <w:b/>
          <w:bCs/>
        </w:rPr>
      </w:pPr>
    </w:p>
    <w:p w:rsidR="00A96E62" w:rsidRPr="0066567F" w:rsidRDefault="00A96E62" w:rsidP="009A2E1C">
      <w:pPr>
        <w:pStyle w:val="Body"/>
        <w:tabs>
          <w:tab w:val="clear" w:pos="3140"/>
        </w:tabs>
        <w:spacing w:before="0"/>
        <w:ind w:right="240" w:firstLine="0"/>
        <w:jc w:val="center"/>
        <w:rPr>
          <w:b/>
          <w:bCs/>
        </w:rPr>
      </w:pPr>
      <w:r w:rsidRPr="0066567F">
        <w:rPr>
          <w:b/>
          <w:bCs/>
        </w:rPr>
        <w:lastRenderedPageBreak/>
        <w:t>Measurement implementation</w:t>
      </w:r>
    </w:p>
    <w:p w:rsidR="00A96E62" w:rsidRPr="0066567F" w:rsidRDefault="00A96E62" w:rsidP="00816932">
      <w:pPr>
        <w:spacing w:line="480" w:lineRule="auto"/>
      </w:pPr>
      <w:r w:rsidRPr="0066567F">
        <w:tab/>
        <w:t xml:space="preserve">A classification of the rim bevel of a </w:t>
      </w:r>
      <w:proofErr w:type="spellStart"/>
      <w:r w:rsidRPr="0066567F">
        <w:t>Meidum</w:t>
      </w:r>
      <w:proofErr w:type="spellEnd"/>
      <w:r w:rsidRPr="0066567F">
        <w:t xml:space="preserve"> bowl was constructed by breaking the over-all form down into various dimensions.  To be counted, the rim sherd has to retain the complete s-shaped rim. Most of an entire vessel (with the exception of the rounded base) can be reconstructed from a rim sherd that retains the entire s-shaped bevel, provided it retains a measurable portion of the diameter.  By counting only </w:t>
      </w:r>
      <w:proofErr w:type="spellStart"/>
      <w:r w:rsidRPr="0066567F">
        <w:t>Meidum</w:t>
      </w:r>
      <w:proofErr w:type="spellEnd"/>
      <w:r w:rsidRPr="0066567F">
        <w:t xml:space="preserve"> bowl rim </w:t>
      </w:r>
      <w:proofErr w:type="spellStart"/>
      <w:r w:rsidRPr="0066567F">
        <w:t>sherds</w:t>
      </w:r>
      <w:proofErr w:type="spellEnd"/>
      <w:r w:rsidRPr="0066567F">
        <w:t xml:space="preserve"> which are large enough to estimate a reconstruction, there are no issues of over-estimating the number of vessels or counting particular parts of the same vessel twice. </w:t>
      </w:r>
    </w:p>
    <w:p w:rsidR="00A96E62" w:rsidRPr="0066567F" w:rsidRDefault="00A96E62" w:rsidP="00816932">
      <w:pPr>
        <w:widowControl w:val="0"/>
        <w:autoSpaceDE w:val="0"/>
        <w:autoSpaceDN w:val="0"/>
        <w:adjustRightInd w:val="0"/>
        <w:spacing w:line="480" w:lineRule="auto"/>
        <w:jc w:val="both"/>
        <w:rPr>
          <w:i/>
          <w:iCs/>
        </w:rPr>
      </w:pPr>
      <w:r w:rsidRPr="0066567F">
        <w:rPr>
          <w:i/>
          <w:iCs/>
        </w:rPr>
        <w:t>Drawings as data</w:t>
      </w:r>
    </w:p>
    <w:p w:rsidR="00A96E62" w:rsidRPr="0066567F" w:rsidRDefault="00A96E62" w:rsidP="00816932">
      <w:pPr>
        <w:widowControl w:val="0"/>
        <w:autoSpaceDE w:val="0"/>
        <w:autoSpaceDN w:val="0"/>
        <w:adjustRightInd w:val="0"/>
        <w:spacing w:line="480" w:lineRule="auto"/>
        <w:rPr>
          <w:b/>
        </w:rPr>
      </w:pPr>
      <w:r w:rsidRPr="0066567F">
        <w:tab/>
        <w:t>Pottery illustrations are intended to make comparison of vessels simpler by reconstructing on paper as much of the vessel form and decoration as possible (Orton et al. 1993:87).</w:t>
      </w:r>
      <w:r w:rsidRPr="0066567F">
        <w:rPr>
          <w:b/>
        </w:rPr>
        <w:t xml:space="preserve"> </w:t>
      </w:r>
      <w:r w:rsidRPr="0066567F">
        <w:t>There is much debate about the utility of drawing all the pottery in an assemblage (Orton et al. 1993:87-88). However, in the interests of conservation, the more assemblages that are available for analysis in publications, the less necessary field work becomes for large scale regional studies. As Orton points out, "it is often the illustrations which enable early archaeologic</w:t>
      </w:r>
      <w:r w:rsidR="002C6D55">
        <w:t>al pottery collections to be re-</w:t>
      </w:r>
      <w:r w:rsidRPr="0066567F">
        <w:t>examined and new analyses to take place (1993:88).</w:t>
      </w:r>
      <w:r w:rsidRPr="0066567F">
        <w:rPr>
          <w:b/>
        </w:rPr>
        <w:t xml:space="preserve"> </w:t>
      </w:r>
    </w:p>
    <w:p w:rsidR="00A96E62" w:rsidRPr="0066567F" w:rsidRDefault="00A96E62" w:rsidP="00816932">
      <w:pPr>
        <w:widowControl w:val="0"/>
        <w:autoSpaceDE w:val="0"/>
        <w:autoSpaceDN w:val="0"/>
        <w:adjustRightInd w:val="0"/>
        <w:spacing w:line="480" w:lineRule="auto"/>
      </w:pPr>
      <w:r w:rsidRPr="0066567F">
        <w:tab/>
        <w:t>Scaled images can provide a great deal of information about artifact types and</w:t>
      </w:r>
      <w:r w:rsidR="00640E47">
        <w:t xml:space="preserve"> </w:t>
      </w:r>
      <w:r w:rsidRPr="0066567F">
        <w:t xml:space="preserve">can be considered equivalent to taking measurements on actual objects by translating the parameters of three dimensional objects to a two dimensional surface (i.e. O'Brien et al. 2001; Pierce 1998).  The sherd can be oriented by rolling the rim until all points of the rim are in contact with a flat surface and the profile traced on paper. </w:t>
      </w:r>
    </w:p>
    <w:p w:rsidR="00EB4305" w:rsidRPr="0066567F" w:rsidRDefault="00A96E62" w:rsidP="00816932">
      <w:pPr>
        <w:widowControl w:val="0"/>
        <w:autoSpaceDE w:val="0"/>
        <w:autoSpaceDN w:val="0"/>
        <w:adjustRightInd w:val="0"/>
        <w:spacing w:line="480" w:lineRule="auto"/>
      </w:pPr>
      <w:r w:rsidRPr="0066567F">
        <w:tab/>
        <w:t xml:space="preserve">Once the profile is recorded, assuming proper scaling (and most pottery drawings are </w:t>
      </w:r>
    </w:p>
    <w:p w:rsidR="00A96E62" w:rsidRPr="0066567F" w:rsidRDefault="00A96E62" w:rsidP="00816932">
      <w:pPr>
        <w:widowControl w:val="0"/>
        <w:autoSpaceDE w:val="0"/>
        <w:autoSpaceDN w:val="0"/>
        <w:adjustRightInd w:val="0"/>
        <w:spacing w:line="480" w:lineRule="auto"/>
      </w:pPr>
      <w:r w:rsidRPr="0066567F">
        <w:t xml:space="preserve">1: 1, such that a measurement taken from a drawing should reflect a measurement taken directly </w:t>
      </w:r>
      <w:r w:rsidRPr="0066567F">
        <w:lastRenderedPageBreak/>
        <w:t xml:space="preserve">on the object), the drawing can be used as a data source.  A rim sherd provides information about vessel size and shape. Rim profile size plus estimated diameter (using a device such as a diameter chart) allows the vessel to be partially reconstructed in a drawing, although when dealing with rim </w:t>
      </w:r>
      <w:proofErr w:type="spellStart"/>
      <w:r w:rsidRPr="0066567F">
        <w:t>sherds</w:t>
      </w:r>
      <w:proofErr w:type="spellEnd"/>
      <w:r w:rsidRPr="0066567F">
        <w:t>, not all the area below the rim is visible.</w:t>
      </w:r>
    </w:p>
    <w:p w:rsidR="00A96E62" w:rsidRPr="0066567F" w:rsidRDefault="00A96E62" w:rsidP="00816932">
      <w:pPr>
        <w:widowControl w:val="0"/>
        <w:autoSpaceDE w:val="0"/>
        <w:autoSpaceDN w:val="0"/>
        <w:adjustRightInd w:val="0"/>
        <w:spacing w:line="480" w:lineRule="auto"/>
      </w:pPr>
      <w:r w:rsidRPr="0066567F">
        <w:tab/>
        <w:t>To make a digital photograph the equivalent of a measured drawing, a scale is placed next to the object to be photographed as closely as possible to the measurement plane of the profile in question. The result should be that two centimeters on the scale should be equivalent to two centimeters on the artifact. This is easily evaluated by comparing measurements made on the actual artifacts with measurements made on a scaled photo or drawing</w:t>
      </w:r>
    </w:p>
    <w:p w:rsidR="00A96E62" w:rsidRDefault="00A96E62" w:rsidP="00816932">
      <w:pPr>
        <w:widowControl w:val="0"/>
        <w:autoSpaceDE w:val="0"/>
        <w:autoSpaceDN w:val="0"/>
        <w:adjustRightInd w:val="0"/>
        <w:spacing w:line="480" w:lineRule="auto"/>
      </w:pPr>
      <w:r w:rsidRPr="0066567F">
        <w:tab/>
        <w:t>To minimize distortion in resulting from the photographic environment, I constructed a relatively simple device to hold the rim sherd at proper orientation while being photographed (</w:t>
      </w:r>
      <w:r w:rsidRPr="0066567F">
        <w:rPr>
          <w:bCs/>
        </w:rPr>
        <w:t xml:space="preserve">Figure </w:t>
      </w:r>
      <w:r w:rsidR="00BB08AD" w:rsidRPr="0066567F">
        <w:rPr>
          <w:bCs/>
        </w:rPr>
        <w:t>4</w:t>
      </w:r>
      <w:r w:rsidRPr="0066567F">
        <w:t>). A target bubble and a standard camera tripod allow for the leveling of the camera and the table.</w:t>
      </w:r>
    </w:p>
    <w:p w:rsidR="005173DF" w:rsidRPr="0066567F" w:rsidRDefault="005173DF" w:rsidP="00816932">
      <w:pPr>
        <w:widowControl w:val="0"/>
        <w:autoSpaceDE w:val="0"/>
        <w:autoSpaceDN w:val="0"/>
        <w:adjustRightInd w:val="0"/>
        <w:spacing w:line="480" w:lineRule="auto"/>
      </w:pPr>
    </w:p>
    <w:p w:rsidR="00832953" w:rsidRPr="0066567F" w:rsidRDefault="00427396" w:rsidP="00816932">
      <w:pPr>
        <w:widowControl w:val="0"/>
        <w:autoSpaceDE w:val="0"/>
        <w:autoSpaceDN w:val="0"/>
        <w:adjustRightInd w:val="0"/>
        <w:spacing w:line="480" w:lineRule="auto"/>
      </w:pPr>
      <w:r w:rsidRPr="0066567F">
        <w:rPr>
          <w:noProof/>
        </w:rPr>
        <w:lastRenderedPageBreak/>
        <w:drawing>
          <wp:inline distT="0" distB="0" distL="0" distR="0">
            <wp:extent cx="5943600" cy="3655695"/>
            <wp:effectExtent l="19050" t="0" r="0" b="0"/>
            <wp:docPr id="5" name="Picture 4" descr="Figure 4 photo set 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 photo set up.tif"/>
                    <pic:cNvPicPr/>
                  </pic:nvPicPr>
                  <pic:blipFill>
                    <a:blip r:embed="rId11"/>
                    <a:stretch>
                      <a:fillRect/>
                    </a:stretch>
                  </pic:blipFill>
                  <pic:spPr>
                    <a:xfrm>
                      <a:off x="0" y="0"/>
                      <a:ext cx="5943600" cy="3655695"/>
                    </a:xfrm>
                    <a:prstGeom prst="rect">
                      <a:avLst/>
                    </a:prstGeom>
                  </pic:spPr>
                </pic:pic>
              </a:graphicData>
            </a:graphic>
          </wp:inline>
        </w:drawing>
      </w:r>
    </w:p>
    <w:p w:rsidR="00832953" w:rsidRPr="0066567F" w:rsidRDefault="00832953" w:rsidP="00816932">
      <w:pPr>
        <w:widowControl w:val="0"/>
        <w:autoSpaceDE w:val="0"/>
        <w:autoSpaceDN w:val="0"/>
        <w:adjustRightInd w:val="0"/>
        <w:spacing w:line="480" w:lineRule="auto"/>
      </w:pPr>
    </w:p>
    <w:p w:rsidR="00832953" w:rsidRPr="0066567F" w:rsidRDefault="00E73D1E" w:rsidP="00816932">
      <w:pPr>
        <w:widowControl w:val="0"/>
        <w:autoSpaceDE w:val="0"/>
        <w:autoSpaceDN w:val="0"/>
        <w:adjustRightInd w:val="0"/>
        <w:spacing w:line="480" w:lineRule="auto"/>
      </w:pPr>
      <w:proofErr w:type="gramStart"/>
      <w:r w:rsidRPr="0066567F">
        <w:rPr>
          <w:b/>
        </w:rPr>
        <w:t>Figure 4.</w:t>
      </w:r>
      <w:proofErr w:type="gramEnd"/>
      <w:r w:rsidRPr="0066567F">
        <w:rPr>
          <w:b/>
        </w:rPr>
        <w:t xml:space="preserve"> </w:t>
      </w:r>
      <w:r w:rsidRPr="0066567F">
        <w:t>Photographic “</w:t>
      </w:r>
      <w:proofErr w:type="spellStart"/>
      <w:r w:rsidRPr="0066567F">
        <w:t>stancing</w:t>
      </w:r>
      <w:proofErr w:type="spellEnd"/>
      <w:r w:rsidRPr="0066567F">
        <w:t xml:space="preserve">” and measurements implemented (excluding diameter). </w:t>
      </w:r>
    </w:p>
    <w:p w:rsidR="00E73D1E" w:rsidRPr="0066567F" w:rsidRDefault="00E73D1E" w:rsidP="00816932">
      <w:pPr>
        <w:widowControl w:val="0"/>
        <w:autoSpaceDE w:val="0"/>
        <w:autoSpaceDN w:val="0"/>
        <w:adjustRightInd w:val="0"/>
        <w:spacing w:line="480" w:lineRule="auto"/>
      </w:pPr>
    </w:p>
    <w:p w:rsidR="00A96E62" w:rsidRPr="0066567F" w:rsidRDefault="00A96E62" w:rsidP="00816932">
      <w:pPr>
        <w:widowControl w:val="0"/>
        <w:autoSpaceDE w:val="0"/>
        <w:autoSpaceDN w:val="0"/>
        <w:adjustRightInd w:val="0"/>
        <w:spacing w:line="480" w:lineRule="auto"/>
      </w:pPr>
      <w:r w:rsidRPr="0066567F">
        <w:tab/>
        <w:t xml:space="preserve">These digital images can then be measured using the metric facilities of a </w:t>
      </w:r>
      <w:r w:rsidR="00640E47">
        <w:t>standard graphics</w:t>
      </w:r>
      <w:r w:rsidRPr="0066567F">
        <w:t xml:space="preserve"> program</w:t>
      </w:r>
      <w:r w:rsidR="00640E47">
        <w:t>; Canvas</w:t>
      </w:r>
      <w:r w:rsidRPr="0066567F">
        <w:t xml:space="preserve">. </w:t>
      </w:r>
      <w:r w:rsidR="00640E47">
        <w:t xml:space="preserve">Computerized measurement </w:t>
      </w:r>
      <w:r w:rsidRPr="0066567F">
        <w:t>increases precision, because the act of measurement is less dependent on human dexterity. A further advantage of this technique is that multiple measurements can be made quickly (e.g. Pierce 1998). The graphics program also allows the object to be enlarged several times, thus increasing the accuracy and precision of the measurements.</w:t>
      </w:r>
    </w:p>
    <w:p w:rsidR="00A96E62" w:rsidRPr="0066567F" w:rsidRDefault="00A96E62" w:rsidP="001371BD">
      <w:pPr>
        <w:spacing w:line="480" w:lineRule="auto"/>
        <w:ind w:firstLine="720"/>
      </w:pPr>
      <w:r w:rsidRPr="0066567F">
        <w:t xml:space="preserve">As a line is drawn, a display reports the azimuth (in degrees) of the line drawn as well as its length (in centimeters).  Controls within the program allow the generation of a perfectly horizontal (90 degree) or perfectly vertical (180 degree) line. This feature can be used to measure the thickness of the sherd at any point on the cross section. To measure the image, the picture is </w:t>
      </w:r>
      <w:r w:rsidRPr="0066567F">
        <w:lastRenderedPageBreak/>
        <w:t xml:space="preserve">first scaled 1: 1. The line tool is then employed to measure the attributes outlined. The profile of the sherd is broken into measureable segments by arbitrarily establishing two horizontal reference lines, positioned as closely as possible to changes in inflection on the curve of the rim. From these reference lines, additional lines are drawn to the landmarks designated in and their azimuths and lengths are recorded. See </w:t>
      </w:r>
      <w:r w:rsidRPr="0066567F">
        <w:rPr>
          <w:bCs/>
        </w:rPr>
        <w:t xml:space="preserve">Figure </w:t>
      </w:r>
      <w:r w:rsidR="00BB08AD" w:rsidRPr="0066567F">
        <w:rPr>
          <w:bCs/>
        </w:rPr>
        <w:t>4</w:t>
      </w:r>
      <w:r w:rsidR="00BB08AD" w:rsidRPr="0066567F">
        <w:rPr>
          <w:b/>
          <w:bCs/>
        </w:rPr>
        <w:t xml:space="preserve"> </w:t>
      </w:r>
      <w:r w:rsidRPr="0066567F">
        <w:t>for the implemented measurements.</w:t>
      </w:r>
    </w:p>
    <w:p w:rsidR="000A4E40" w:rsidRPr="0066567F" w:rsidRDefault="00A96E62" w:rsidP="000A4E40">
      <w:pPr>
        <w:widowControl w:val="0"/>
        <w:autoSpaceDE w:val="0"/>
        <w:autoSpaceDN w:val="0"/>
        <w:adjustRightInd w:val="0"/>
        <w:spacing w:line="480" w:lineRule="auto"/>
      </w:pPr>
      <w:r w:rsidRPr="0066567F">
        <w:tab/>
      </w:r>
      <w:r w:rsidR="00981881" w:rsidRPr="0066567F">
        <w:t>All diameter measurements were taken directly from the objects in the field</w:t>
      </w:r>
      <w:r w:rsidR="00981881">
        <w:t xml:space="preserve"> </w:t>
      </w:r>
      <w:r w:rsidRPr="0066567F">
        <w:t>using a standar</w:t>
      </w:r>
      <w:r w:rsidR="00981881">
        <w:t xml:space="preserve">d diameter rim chart. To implement diameter measurement, the rim is </w:t>
      </w:r>
      <w:r w:rsidRPr="0066567F">
        <w:t>rotated until all points are in contact with the surface. The sherd is then moved along the chart</w:t>
      </w:r>
      <w:r w:rsidR="00981881">
        <w:t xml:space="preserve"> </w:t>
      </w:r>
      <w:r w:rsidRPr="0066567F">
        <w:t xml:space="preserve">until its curve matches a diameter ring. This is taken to be the </w:t>
      </w:r>
      <w:r w:rsidRPr="0066567F">
        <w:rPr>
          <w:i/>
          <w:iCs/>
        </w:rPr>
        <w:t xml:space="preserve">estimated </w:t>
      </w:r>
      <w:r w:rsidRPr="0066567F">
        <w:t xml:space="preserve">diameter.  </w:t>
      </w:r>
    </w:p>
    <w:p w:rsidR="00A96E62" w:rsidRPr="005173DF" w:rsidRDefault="00A96E62" w:rsidP="00816932">
      <w:pPr>
        <w:spacing w:line="480" w:lineRule="auto"/>
        <w:rPr>
          <w:bCs/>
          <w:i/>
        </w:rPr>
      </w:pPr>
      <w:r w:rsidRPr="005173DF">
        <w:rPr>
          <w:bCs/>
          <w:i/>
        </w:rPr>
        <w:t>Morphological Attributes Chosen</w:t>
      </w:r>
    </w:p>
    <w:p w:rsidR="00161751" w:rsidRPr="0066567F" w:rsidRDefault="00A96E62" w:rsidP="00D25495">
      <w:pPr>
        <w:spacing w:line="480" w:lineRule="auto"/>
      </w:pPr>
      <w:r w:rsidRPr="0066567F">
        <w:tab/>
        <w:t xml:space="preserve">Four attributes were chosen to distinguish the differences between vessel shapes.  These were; the overall </w:t>
      </w:r>
      <w:r w:rsidR="00EB4305" w:rsidRPr="0066567F">
        <w:t xml:space="preserve">size </w:t>
      </w:r>
      <w:r w:rsidRPr="0066567F">
        <w:t>of the carination</w:t>
      </w:r>
      <w:r w:rsidR="006A6816" w:rsidRPr="0066567F">
        <w:t xml:space="preserve"> (Length A + L</w:t>
      </w:r>
      <w:r w:rsidR="00EB4305" w:rsidRPr="0066567F">
        <w:t>ength B</w:t>
      </w:r>
      <w:r w:rsidR="00150AA2" w:rsidRPr="0066567F">
        <w:t xml:space="preserve"> or LA+LB</w:t>
      </w:r>
      <w:r w:rsidR="00EB4305" w:rsidRPr="0066567F">
        <w:t>)</w:t>
      </w:r>
      <w:r w:rsidR="006A6816" w:rsidRPr="0066567F">
        <w:t>, D</w:t>
      </w:r>
      <w:r w:rsidRPr="0066567F">
        <w:t xml:space="preserve">iameter, Azimuth B, and Azimuth C.  </w:t>
      </w:r>
      <w:r w:rsidR="00EB4305" w:rsidRPr="0066567F">
        <w:t xml:space="preserve">These attributes were chosen because they characterize the general shape of the carination. </w:t>
      </w:r>
      <w:r w:rsidR="00634619" w:rsidRPr="0066567F">
        <w:t xml:space="preserve">Sterling (2009:171-172) determined that these four attributes exhibited strong tendencies toward </w:t>
      </w:r>
      <w:r w:rsidR="00161751" w:rsidRPr="0066567F">
        <w:t xml:space="preserve">intentional </w:t>
      </w:r>
      <w:r w:rsidR="00634619" w:rsidRPr="0066567F">
        <w:t xml:space="preserve">standardization, based on coefficients of variation </w:t>
      </w:r>
      <w:r w:rsidR="00161751" w:rsidRPr="0066567F">
        <w:t>(</w:t>
      </w:r>
      <w:r w:rsidR="00161751" w:rsidRPr="0066567F">
        <w:rPr>
          <w:i/>
        </w:rPr>
        <w:t>CVs</w:t>
      </w:r>
      <w:r w:rsidR="00161751" w:rsidRPr="0066567F">
        <w:t xml:space="preserve">) </w:t>
      </w:r>
      <w:r w:rsidR="00634619" w:rsidRPr="0066567F">
        <w:t>for the means and standard deviations of each measurement set (e.g. all 6</w:t>
      </w:r>
      <w:r w:rsidR="00634619" w:rsidRPr="0066567F">
        <w:rPr>
          <w:vertAlign w:val="superscript"/>
        </w:rPr>
        <w:t>th</w:t>
      </w:r>
      <w:r w:rsidR="00634619" w:rsidRPr="0066567F">
        <w:t xml:space="preserve"> Dynasty bowls from Elephantine, or all 4</w:t>
      </w:r>
      <w:r w:rsidR="00634619" w:rsidRPr="0066567F">
        <w:rPr>
          <w:vertAlign w:val="superscript"/>
        </w:rPr>
        <w:t>th</w:t>
      </w:r>
      <w:r w:rsidR="00634619" w:rsidRPr="0066567F">
        <w:t xml:space="preserve"> Dynasty bowls from Giza). </w:t>
      </w:r>
      <w:r w:rsidR="00161751" w:rsidRPr="0066567F">
        <w:t xml:space="preserve"> </w:t>
      </w:r>
    </w:p>
    <w:p w:rsidR="00A96E62" w:rsidRPr="0066567F" w:rsidRDefault="00145434" w:rsidP="00161751">
      <w:pPr>
        <w:spacing w:line="480" w:lineRule="auto"/>
        <w:ind w:firstLine="720"/>
      </w:pPr>
      <w:r w:rsidRPr="0066567F">
        <w:t xml:space="preserve">The coefficient of variation is calculated by dividing the mean of some data set by the standard deviation.  </w:t>
      </w:r>
      <w:proofErr w:type="spellStart"/>
      <w:r w:rsidRPr="0066567F">
        <w:t>Eerkens</w:t>
      </w:r>
      <w:proofErr w:type="spellEnd"/>
      <w:r w:rsidRPr="0066567F">
        <w:t xml:space="preserve"> and </w:t>
      </w:r>
      <w:proofErr w:type="spellStart"/>
      <w:r w:rsidRPr="0066567F">
        <w:t>Bettinger</w:t>
      </w:r>
      <w:proofErr w:type="spellEnd"/>
      <w:r w:rsidR="00044D32" w:rsidRPr="0066567F">
        <w:t xml:space="preserve"> (</w:t>
      </w:r>
      <w:r w:rsidR="00A356A7" w:rsidRPr="0066567F">
        <w:t xml:space="preserve">2001) and </w:t>
      </w:r>
      <w:proofErr w:type="spellStart"/>
      <w:r w:rsidR="00A356A7" w:rsidRPr="0066567F">
        <w:t>Longacre</w:t>
      </w:r>
      <w:proofErr w:type="spellEnd"/>
      <w:r w:rsidR="00A356A7" w:rsidRPr="0066567F">
        <w:t xml:space="preserve"> </w:t>
      </w:r>
      <w:r w:rsidR="00044D32" w:rsidRPr="0066567F">
        <w:t>(</w:t>
      </w:r>
      <w:r w:rsidR="00A356A7" w:rsidRPr="0066567F">
        <w:t>1999</w:t>
      </w:r>
      <w:r w:rsidR="00044D32" w:rsidRPr="0066567F">
        <w:t xml:space="preserve">) determined a range of </w:t>
      </w:r>
      <w:r w:rsidR="00044D32" w:rsidRPr="0066567F">
        <w:rPr>
          <w:i/>
        </w:rPr>
        <w:t xml:space="preserve">CVs </w:t>
      </w:r>
      <w:r w:rsidR="00044D32" w:rsidRPr="0066567F">
        <w:t xml:space="preserve">likely to be associated with intentional replication of some attribute to be 2%-6%.  </w:t>
      </w:r>
      <w:r w:rsidR="00044D32" w:rsidRPr="0066567F">
        <w:rPr>
          <w:i/>
        </w:rPr>
        <w:t>CVs</w:t>
      </w:r>
      <w:r w:rsidR="00044D32" w:rsidRPr="0066567F">
        <w:t xml:space="preserve"> f</w:t>
      </w:r>
      <w:r w:rsidR="003D160B" w:rsidRPr="0066567F">
        <w:t>or D</w:t>
      </w:r>
      <w:r w:rsidR="00044D32" w:rsidRPr="0066567F">
        <w:t xml:space="preserve">iameter, </w:t>
      </w:r>
      <w:r w:rsidR="003D160B" w:rsidRPr="0066567F">
        <w:t xml:space="preserve">LA+LB, </w:t>
      </w:r>
      <w:r w:rsidR="00044D32" w:rsidRPr="0066567F">
        <w:t>Azimuth B, Azimuth C and study ranged from 9%</w:t>
      </w:r>
      <w:r w:rsidR="00A356A7" w:rsidRPr="0066567F">
        <w:t xml:space="preserve"> </w:t>
      </w:r>
      <w:r w:rsidR="00044D32" w:rsidRPr="0066567F">
        <w:t xml:space="preserve">(diameter) to 20% (Azimuth C).  While these </w:t>
      </w:r>
      <w:r w:rsidR="00044D32" w:rsidRPr="0066567F">
        <w:rPr>
          <w:i/>
        </w:rPr>
        <w:t xml:space="preserve">CVs </w:t>
      </w:r>
      <w:r w:rsidR="00044D32" w:rsidRPr="0066567F">
        <w:t>are high</w:t>
      </w:r>
      <w:r w:rsidR="00167910" w:rsidRPr="0066567F">
        <w:t xml:space="preserve">, they are nonetheless below </w:t>
      </w:r>
      <w:r w:rsidR="001E59AA" w:rsidRPr="0066567F">
        <w:t xml:space="preserve">the range specified </w:t>
      </w:r>
      <w:r w:rsidR="00167910" w:rsidRPr="0066567F">
        <w:t>for random data, which approaches 50-65% (</w:t>
      </w:r>
      <w:proofErr w:type="spellStart"/>
      <w:r w:rsidR="00167910" w:rsidRPr="0066567F">
        <w:t>Eerkens</w:t>
      </w:r>
      <w:proofErr w:type="spellEnd"/>
      <w:r w:rsidR="00167910" w:rsidRPr="0066567F">
        <w:t xml:space="preserve"> and </w:t>
      </w:r>
      <w:proofErr w:type="spellStart"/>
      <w:r w:rsidR="00167910" w:rsidRPr="0066567F">
        <w:t>Bettinger</w:t>
      </w:r>
      <w:proofErr w:type="spellEnd"/>
      <w:r w:rsidR="00167910" w:rsidRPr="0066567F">
        <w:t xml:space="preserve"> 2001).  </w:t>
      </w:r>
    </w:p>
    <w:p w:rsidR="000A4E40" w:rsidRPr="0066567F" w:rsidRDefault="000A4E40" w:rsidP="00884462">
      <w:pPr>
        <w:spacing w:line="480" w:lineRule="auto"/>
        <w:jc w:val="center"/>
        <w:rPr>
          <w:b/>
          <w:bCs/>
        </w:rPr>
      </w:pPr>
    </w:p>
    <w:p w:rsidR="00A96E62" w:rsidRPr="0066567F" w:rsidRDefault="00A96E62" w:rsidP="00884462">
      <w:pPr>
        <w:spacing w:line="480" w:lineRule="auto"/>
        <w:jc w:val="center"/>
        <w:rPr>
          <w:b/>
          <w:bCs/>
        </w:rPr>
      </w:pPr>
      <w:r w:rsidRPr="0066567F">
        <w:rPr>
          <w:b/>
          <w:bCs/>
        </w:rPr>
        <w:t>Overview of statistical techniques, ANOVA and DFA</w:t>
      </w:r>
    </w:p>
    <w:p w:rsidR="00A96E62" w:rsidRPr="0066567F" w:rsidRDefault="00A96E62" w:rsidP="0057137D">
      <w:pPr>
        <w:spacing w:line="480" w:lineRule="auto"/>
        <w:ind w:left="-57" w:right="183"/>
      </w:pPr>
      <w:r w:rsidRPr="0066567F">
        <w:tab/>
      </w:r>
      <w:r w:rsidRPr="0066567F">
        <w:tab/>
        <w:t xml:space="preserve">In assessing how information for the manufacture of </w:t>
      </w:r>
      <w:proofErr w:type="spellStart"/>
      <w:r w:rsidRPr="0066567F">
        <w:t>Meidum</w:t>
      </w:r>
      <w:proofErr w:type="spellEnd"/>
      <w:r w:rsidRPr="0066567F">
        <w:t xml:space="preserve"> bowls is transmitted through time and across space, “(t)he problem becomes:  given the division of vessels between sites, is that division reproduced when we attempt to divide up the vessels on the basis of the variables defining their shape</w:t>
      </w:r>
      <w:r w:rsidRPr="0066567F">
        <w:rPr>
          <w:b/>
        </w:rPr>
        <w:t xml:space="preserve">” </w:t>
      </w:r>
      <w:r w:rsidRPr="0066567F">
        <w:t xml:space="preserve">(Read 1982; quoted by </w:t>
      </w:r>
      <w:proofErr w:type="spellStart"/>
      <w:r w:rsidRPr="0066567F">
        <w:t>Shennan</w:t>
      </w:r>
      <w:proofErr w:type="spellEnd"/>
      <w:r w:rsidRPr="0066567F">
        <w:t xml:space="preserve"> 1997:220).  Means of morphological attributes of groups from different time periods and locations were compared first using Analysis of Variance (ANOVA) to determine whether there were significant differences between means, and to demonstrate that samples had homogeneous variances.  Then, the metric relationships</w:t>
      </w:r>
      <w:r w:rsidRPr="0066567F">
        <w:rPr>
          <w:b/>
        </w:rPr>
        <w:t xml:space="preserve"> </w:t>
      </w:r>
      <w:r w:rsidRPr="0066567F">
        <w:t xml:space="preserve">between groups were demonstrated using </w:t>
      </w:r>
      <w:proofErr w:type="spellStart"/>
      <w:r w:rsidRPr="0066567F">
        <w:t>Discriminant</w:t>
      </w:r>
      <w:proofErr w:type="spellEnd"/>
      <w:r w:rsidRPr="0066567F">
        <w:t xml:space="preserve"> Function Analysis (DFA).  </w:t>
      </w:r>
    </w:p>
    <w:p w:rsidR="00A96E62" w:rsidRPr="0066567F" w:rsidRDefault="00A96E62" w:rsidP="0057137D">
      <w:pPr>
        <w:spacing w:line="480" w:lineRule="auto"/>
        <w:ind w:left="-57" w:right="183" w:firstLine="810"/>
      </w:pPr>
      <w:r w:rsidRPr="0066567F">
        <w:t>ANOVA uses the principle of regression to determine the probability that the means of particular pre-chosen groups exhibit differences through chance alone (</w:t>
      </w:r>
      <w:proofErr w:type="spellStart"/>
      <w:r w:rsidRPr="0066567F">
        <w:t>Drennan</w:t>
      </w:r>
      <w:proofErr w:type="spellEnd"/>
      <w:r w:rsidRPr="0066567F">
        <w:t xml:space="preserve"> 1996:175-176).  Because the assemblages from different times and locations featured different sample sizes, and because ANOVA assumes variance equivalence, equal variances across samples with differing sizes were evaluated using the </w:t>
      </w:r>
      <w:proofErr w:type="spellStart"/>
      <w:r w:rsidRPr="0066567F">
        <w:t>Levene</w:t>
      </w:r>
      <w:proofErr w:type="spellEnd"/>
      <w:r w:rsidRPr="0066567F">
        <w:t xml:space="preserve"> test.  Only those comparisons that passed the </w:t>
      </w:r>
      <w:proofErr w:type="spellStart"/>
      <w:r w:rsidRPr="0066567F">
        <w:t>Levene</w:t>
      </w:r>
      <w:proofErr w:type="spellEnd"/>
      <w:r w:rsidRPr="0066567F">
        <w:t xml:space="preserve"> test were included in the final discussion. </w:t>
      </w:r>
    </w:p>
    <w:p w:rsidR="00081A38" w:rsidRDefault="00A96E62" w:rsidP="00FC38E8">
      <w:pPr>
        <w:spacing w:line="480" w:lineRule="auto"/>
        <w:ind w:firstLine="720"/>
      </w:pPr>
      <w:r w:rsidRPr="0066567F">
        <w:t xml:space="preserve">DFA can be used in one of two ways; as a means of quantifying the significance of differences between known groups, and as a means of classification, wherein </w:t>
      </w:r>
      <w:proofErr w:type="spellStart"/>
      <w:r w:rsidRPr="0066567F">
        <w:t>discriminant</w:t>
      </w:r>
      <w:proofErr w:type="spellEnd"/>
      <w:r w:rsidRPr="0066567F">
        <w:t xml:space="preserve"> functions are used to assignment membership to cases with unknown classification.  DFA is chosen in this instance because unlike other numerical classification techniques, this approach assumes observations have been divided into groups on the basis of some criterion (</w:t>
      </w:r>
      <w:proofErr w:type="spellStart"/>
      <w:r w:rsidRPr="0066567F">
        <w:t>Shennan</w:t>
      </w:r>
      <w:proofErr w:type="spellEnd"/>
      <w:r w:rsidRPr="0066567F">
        <w:t xml:space="preserve"> 1997:350).  The variables constructed maximize the differences between the defined groups, </w:t>
      </w:r>
      <w:r w:rsidRPr="0066567F">
        <w:lastRenderedPageBreak/>
        <w:t>rather than maximizing the amount of variance accounted for by particular variables (</w:t>
      </w:r>
      <w:proofErr w:type="spellStart"/>
      <w:r w:rsidRPr="0066567F">
        <w:t>Shennan</w:t>
      </w:r>
      <w:proofErr w:type="spellEnd"/>
      <w:r w:rsidRPr="0066567F">
        <w:t xml:space="preserve"> 1997:350).</w:t>
      </w:r>
      <w:r w:rsidRPr="0066567F">
        <w:rPr>
          <w:b/>
        </w:rPr>
        <w:t xml:space="preserve"> </w:t>
      </w:r>
      <w:r w:rsidRPr="0066567F">
        <w:t xml:space="preserve">  The first canonical function maximizes the differences between the means of groups, defined by location and Dynastic period.  The second canonical </w:t>
      </w:r>
      <w:proofErr w:type="spellStart"/>
      <w:r w:rsidRPr="0066567F">
        <w:t>discriminant</w:t>
      </w:r>
      <w:proofErr w:type="spellEnd"/>
      <w:r w:rsidRPr="0066567F">
        <w:t xml:space="preserve"> function represents the maximum dispersion of the means in a direction orthogonal to the first direction.  The third canonical variable represents dispersion in a dimension independent of the first two dimensions.  </w:t>
      </w:r>
    </w:p>
    <w:p w:rsidR="00A96E62" w:rsidRPr="0066567F" w:rsidRDefault="00A96E62" w:rsidP="00FC38E8">
      <w:pPr>
        <w:spacing w:line="480" w:lineRule="auto"/>
        <w:ind w:firstLine="720"/>
      </w:pPr>
      <w:r w:rsidRPr="0066567F">
        <w:t xml:space="preserve">These functions are factors that optimally discriminate between the group </w:t>
      </w:r>
      <w:proofErr w:type="spellStart"/>
      <w:r w:rsidRPr="0066567F">
        <w:t>centroids</w:t>
      </w:r>
      <w:proofErr w:type="spellEnd"/>
      <w:r w:rsidRPr="0066567F">
        <w:t xml:space="preserve"> relative to dispersion within the groups. DFA is thus only employed to quantitatively describe the differences and distances between the known assemblages in “</w:t>
      </w:r>
      <w:proofErr w:type="spellStart"/>
      <w:r w:rsidRPr="0066567F">
        <w:t>Mahalonobis</w:t>
      </w:r>
      <w:proofErr w:type="spellEnd"/>
      <w:r w:rsidRPr="0066567F">
        <w:t xml:space="preserve">” space, rather than to create a classification (Doran and </w:t>
      </w:r>
      <w:proofErr w:type="spellStart"/>
      <w:r w:rsidRPr="0066567F">
        <w:t>Hodson</w:t>
      </w:r>
      <w:proofErr w:type="spellEnd"/>
      <w:r w:rsidRPr="0066567F">
        <w:t xml:space="preserve"> 1975:211).  The </w:t>
      </w:r>
      <w:proofErr w:type="spellStart"/>
      <w:r w:rsidRPr="0066567F">
        <w:t>eigenvalues</w:t>
      </w:r>
      <w:proofErr w:type="spellEnd"/>
      <w:r w:rsidRPr="0066567F">
        <w:t xml:space="preserve"> calculated for each </w:t>
      </w:r>
      <w:proofErr w:type="spellStart"/>
      <w:r w:rsidRPr="0066567F">
        <w:t>discriminant</w:t>
      </w:r>
      <w:proofErr w:type="spellEnd"/>
      <w:r w:rsidRPr="0066567F">
        <w:t xml:space="preserve"> dimension are used to quantify the degree of dissimilarity between assemblages.  </w:t>
      </w:r>
      <w:proofErr w:type="spellStart"/>
      <w:r w:rsidRPr="0066567F">
        <w:t>Eigenvalues</w:t>
      </w:r>
      <w:proofErr w:type="spellEnd"/>
      <w:r w:rsidRPr="0066567F">
        <w:t xml:space="preserve"> are calculated from the overall correlation between any given attribute and the function that maximizes the differences between the predefined groups.  Therefore it is possible to determine which attributes are the most effective at discriminating between assemblages over time and across space.  </w:t>
      </w:r>
    </w:p>
    <w:p w:rsidR="00A96E62" w:rsidRPr="0066567F" w:rsidRDefault="00A96E62" w:rsidP="00816932">
      <w:pPr>
        <w:spacing w:line="480" w:lineRule="auto"/>
      </w:pPr>
      <w:r w:rsidRPr="0066567F">
        <w:tab/>
      </w:r>
      <w:proofErr w:type="spellStart"/>
      <w:r w:rsidRPr="0066567F">
        <w:t>Eigenvalues</w:t>
      </w:r>
      <w:proofErr w:type="spellEnd"/>
      <w:r w:rsidRPr="0066567F">
        <w:t xml:space="preserve"> calculated for each </w:t>
      </w:r>
      <w:proofErr w:type="spellStart"/>
      <w:r w:rsidRPr="0066567F">
        <w:t>discriminant</w:t>
      </w:r>
      <w:proofErr w:type="spellEnd"/>
      <w:r w:rsidRPr="0066567F">
        <w:t xml:space="preserve"> dimension are presented, including the percentage of variation accounted for by the dimension and the variables that are most strongly correlated with each dimension.  If assemblages have a similar structure in terms of their overall covariance, it can be assumed that the variables measured are behaving the same way and are being sorted by the same factor.  The more difference in variance structure of other sites from the structure observed across the Elephantine assemblage alone (used here as before because one can assume that space is playing a minimal role in sorting variation), the lower the fidelity in transmission of information for vessel construction. </w:t>
      </w:r>
    </w:p>
    <w:p w:rsidR="000A4E40" w:rsidRPr="0066567F" w:rsidRDefault="000A4E40" w:rsidP="00816932">
      <w:pPr>
        <w:spacing w:line="480" w:lineRule="auto"/>
      </w:pPr>
    </w:p>
    <w:p w:rsidR="00A96E62" w:rsidRPr="0066567F" w:rsidRDefault="00A96E62" w:rsidP="00816932">
      <w:pPr>
        <w:jc w:val="center"/>
        <w:rPr>
          <w:b/>
          <w:bCs/>
        </w:rPr>
      </w:pPr>
      <w:r w:rsidRPr="0066567F">
        <w:rPr>
          <w:b/>
          <w:bCs/>
        </w:rPr>
        <w:t>Results</w:t>
      </w:r>
    </w:p>
    <w:p w:rsidR="00A96E62" w:rsidRPr="0066567F" w:rsidRDefault="00A96E62" w:rsidP="00816932">
      <w:pPr>
        <w:jc w:val="center"/>
        <w:rPr>
          <w:b/>
          <w:bCs/>
        </w:rPr>
      </w:pPr>
    </w:p>
    <w:p w:rsidR="00A96E62" w:rsidRPr="0066567F" w:rsidRDefault="00A96E62" w:rsidP="00816932">
      <w:pPr>
        <w:spacing w:line="480" w:lineRule="auto"/>
        <w:ind w:left="-57" w:right="183"/>
      </w:pPr>
      <w:r w:rsidRPr="0066567F">
        <w:tab/>
      </w:r>
      <w:r w:rsidRPr="0066567F">
        <w:tab/>
        <w:t xml:space="preserve">In the case of truly centralized production, space should a minimal role in sorting variation.  Alternatively, the lower the spatial scale of socio-economic factors shaping variation in bowl manufacture, the greater the overall heterogeneity a given area will exhibit across measurements. If Egypt exhibits centralized regional-scale (as defined by the Nile Valley and Delta) mass production of ceramics, this should be reflected in regional-scale sorting of variation in production, such that (for example) objects from Elephantine to </w:t>
      </w:r>
      <w:proofErr w:type="spellStart"/>
      <w:r w:rsidRPr="0066567F">
        <w:t>Kom</w:t>
      </w:r>
      <w:proofErr w:type="spellEnd"/>
      <w:r w:rsidRPr="0066567F">
        <w:t xml:space="preserve"> el-</w:t>
      </w:r>
      <w:proofErr w:type="spellStart"/>
      <w:r w:rsidRPr="0066567F">
        <w:t>Hisn</w:t>
      </w:r>
      <w:proofErr w:type="spellEnd"/>
      <w:r w:rsidRPr="0066567F">
        <w:t xml:space="preserve"> are indistinguishable in terms of morphology (</w:t>
      </w:r>
      <w:proofErr w:type="spellStart"/>
      <w:r w:rsidRPr="0066567F">
        <w:rPr>
          <w:i/>
          <w:iCs/>
        </w:rPr>
        <w:t>sensu</w:t>
      </w:r>
      <w:proofErr w:type="spellEnd"/>
      <w:r w:rsidRPr="0066567F">
        <w:rPr>
          <w:i/>
          <w:iCs/>
        </w:rPr>
        <w:t xml:space="preserve"> </w:t>
      </w:r>
      <w:r w:rsidRPr="0066567F">
        <w:t>Rice 1987:201).  Alternatively, if morphological similarities are driven by transmission or diffusion, rather than by centralization, space should play a stronger role in sorting variation.</w:t>
      </w:r>
    </w:p>
    <w:p w:rsidR="00324BC8" w:rsidRPr="0066567F" w:rsidRDefault="00324BC8" w:rsidP="00816932">
      <w:pPr>
        <w:spacing w:line="480" w:lineRule="auto"/>
        <w:ind w:left="-57" w:right="183"/>
        <w:rPr>
          <w:b/>
        </w:rPr>
      </w:pPr>
    </w:p>
    <w:p w:rsidR="00A96E62" w:rsidRPr="007255C0" w:rsidRDefault="00A96E62" w:rsidP="00816932">
      <w:pPr>
        <w:spacing w:line="480" w:lineRule="auto"/>
        <w:ind w:left="-57" w:right="183"/>
        <w:rPr>
          <w:i/>
        </w:rPr>
      </w:pPr>
      <w:r w:rsidRPr="007255C0">
        <w:rPr>
          <w:i/>
        </w:rPr>
        <w:t>ANOVA Comparisons summarized</w:t>
      </w:r>
    </w:p>
    <w:p w:rsidR="00A96E62" w:rsidRPr="0066567F" w:rsidRDefault="00A96E62" w:rsidP="008C11CB">
      <w:pPr>
        <w:spacing w:line="480" w:lineRule="auto"/>
        <w:ind w:left="-57" w:right="183"/>
      </w:pPr>
      <w:r w:rsidRPr="0066567F">
        <w:tab/>
      </w:r>
      <w:r w:rsidRPr="0066567F">
        <w:tab/>
        <w:t>Measurements on bowls from the assemblages were compared by individual dynasties (e.g. the frequency distribution of diameter measurements from 6</w:t>
      </w:r>
      <w:r w:rsidRPr="0066567F">
        <w:rPr>
          <w:vertAlign w:val="superscript"/>
        </w:rPr>
        <w:t>th</w:t>
      </w:r>
      <w:r w:rsidRPr="0066567F">
        <w:t xml:space="preserve"> Dynasty contexts at Elephantine are compared to those from the 6</w:t>
      </w:r>
      <w:r w:rsidRPr="0066567F">
        <w:rPr>
          <w:vertAlign w:val="superscript"/>
        </w:rPr>
        <w:t>th</w:t>
      </w:r>
      <w:r w:rsidRPr="0066567F">
        <w:t xml:space="preserve"> Dynasty at </w:t>
      </w:r>
      <w:proofErr w:type="spellStart"/>
      <w:r w:rsidRPr="0066567F">
        <w:t>Kom</w:t>
      </w:r>
      <w:proofErr w:type="spellEnd"/>
      <w:r w:rsidRPr="0066567F">
        <w:t xml:space="preserve"> el-</w:t>
      </w:r>
      <w:proofErr w:type="spellStart"/>
      <w:r w:rsidRPr="0066567F">
        <w:t>Hisn</w:t>
      </w:r>
      <w:proofErr w:type="spellEnd"/>
      <w:r w:rsidRPr="0066567F">
        <w:t xml:space="preserve"> etc).  Comparative r</w:t>
      </w:r>
      <w:r w:rsidR="009A795B">
        <w:t>esults are summarized in Table 2</w:t>
      </w:r>
      <w:r w:rsidRPr="0066567F">
        <w:t>.</w:t>
      </w:r>
      <w:r w:rsidRPr="0066567F">
        <w:rPr>
          <w:b/>
        </w:rPr>
        <w:t xml:space="preserve"> </w:t>
      </w:r>
      <w:r w:rsidRPr="0066567F">
        <w:t xml:space="preserve">   </w:t>
      </w:r>
    </w:p>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7255C0" w:rsidRDefault="007255C0" w:rsidP="003D160B"/>
    <w:p w:rsidR="003D160B" w:rsidRPr="0066567F" w:rsidRDefault="00A14240" w:rsidP="003D160B">
      <w:proofErr w:type="gramStart"/>
      <w:r>
        <w:lastRenderedPageBreak/>
        <w:t>Table 2</w:t>
      </w:r>
      <w:r w:rsidR="003D160B" w:rsidRPr="0066567F">
        <w:t>:  Summary of measurement trends relative to Elephantine material.</w:t>
      </w:r>
      <w:proofErr w:type="gramEnd"/>
    </w:p>
    <w:p w:rsidR="003D160B" w:rsidRPr="0066567F" w:rsidRDefault="003D160B" w:rsidP="003D160B"/>
    <w:tbl>
      <w:tblPr>
        <w:tblW w:w="10020" w:type="dxa"/>
        <w:tblLayout w:type="fixed"/>
        <w:tblCellMar>
          <w:left w:w="30" w:type="dxa"/>
          <w:right w:w="30" w:type="dxa"/>
        </w:tblCellMar>
        <w:tblLook w:val="0000"/>
      </w:tblPr>
      <w:tblGrid>
        <w:gridCol w:w="1718"/>
        <w:gridCol w:w="1138"/>
        <w:gridCol w:w="850"/>
        <w:gridCol w:w="350"/>
        <w:gridCol w:w="706"/>
        <w:gridCol w:w="144"/>
        <w:gridCol w:w="1008"/>
        <w:gridCol w:w="28"/>
        <w:gridCol w:w="788"/>
        <w:gridCol w:w="240"/>
        <w:gridCol w:w="1180"/>
        <w:gridCol w:w="1780"/>
        <w:gridCol w:w="90"/>
      </w:tblGrid>
      <w:tr w:rsidR="003D160B" w:rsidRPr="00A65986" w:rsidTr="00A65986">
        <w:trPr>
          <w:trHeight w:val="250"/>
        </w:trPr>
        <w:tc>
          <w:tcPr>
            <w:tcW w:w="5914" w:type="dxa"/>
            <w:gridSpan w:val="7"/>
          </w:tcPr>
          <w:p w:rsidR="003D160B" w:rsidRPr="00A65986" w:rsidRDefault="003D160B" w:rsidP="00A5605D">
            <w:pPr>
              <w:rPr>
                <w:b/>
                <w:snapToGrid w:val="0"/>
                <w:color w:val="000000"/>
                <w:sz w:val="22"/>
                <w:szCs w:val="22"/>
              </w:rPr>
            </w:pPr>
            <w:r w:rsidRPr="00A65986">
              <w:rPr>
                <w:b/>
                <w:snapToGrid w:val="0"/>
                <w:color w:val="000000"/>
                <w:sz w:val="22"/>
                <w:szCs w:val="22"/>
              </w:rPr>
              <w:t>Summary of Elephantine trends relative</w:t>
            </w:r>
            <w:r w:rsidR="00A65986" w:rsidRPr="00A65986">
              <w:rPr>
                <w:b/>
                <w:snapToGrid w:val="0"/>
                <w:color w:val="000000"/>
                <w:sz w:val="22"/>
                <w:szCs w:val="22"/>
              </w:rPr>
              <w:t xml:space="preserve"> to Elephantine 2</w:t>
            </w:r>
            <w:r w:rsidR="00A65986" w:rsidRPr="00A65986">
              <w:rPr>
                <w:b/>
                <w:snapToGrid w:val="0"/>
                <w:color w:val="000000"/>
                <w:sz w:val="22"/>
                <w:szCs w:val="22"/>
                <w:vertAlign w:val="superscript"/>
              </w:rPr>
              <w:t>nd</w:t>
            </w:r>
            <w:r w:rsidR="00A65986" w:rsidRPr="00A65986">
              <w:rPr>
                <w:b/>
                <w:snapToGrid w:val="0"/>
                <w:color w:val="000000"/>
                <w:sz w:val="22"/>
                <w:szCs w:val="22"/>
              </w:rPr>
              <w:t xml:space="preserve"> </w:t>
            </w:r>
            <w:r w:rsidRPr="00A65986">
              <w:rPr>
                <w:b/>
                <w:snapToGrid w:val="0"/>
                <w:color w:val="000000"/>
                <w:sz w:val="22"/>
                <w:szCs w:val="22"/>
              </w:rPr>
              <w:t>Dynasty</w:t>
            </w:r>
            <w:r w:rsidR="00A65986">
              <w:rPr>
                <w:b/>
                <w:snapToGrid w:val="0"/>
                <w:color w:val="000000"/>
                <w:sz w:val="22"/>
                <w:szCs w:val="22"/>
              </w:rPr>
              <w:t xml:space="preserve"> materials</w:t>
            </w:r>
          </w:p>
        </w:tc>
        <w:tc>
          <w:tcPr>
            <w:tcW w:w="1056" w:type="dxa"/>
            <w:gridSpan w:val="3"/>
          </w:tcPr>
          <w:p w:rsidR="003D160B" w:rsidRPr="00A65986" w:rsidRDefault="003D160B" w:rsidP="00A5605D">
            <w:pPr>
              <w:jc w:val="right"/>
              <w:rPr>
                <w:b/>
                <w:snapToGrid w:val="0"/>
                <w:color w:val="000000"/>
                <w:sz w:val="22"/>
                <w:szCs w:val="22"/>
              </w:rPr>
            </w:pPr>
          </w:p>
        </w:tc>
        <w:tc>
          <w:tcPr>
            <w:tcW w:w="1180" w:type="dxa"/>
          </w:tcPr>
          <w:p w:rsidR="003D160B" w:rsidRPr="00A65986" w:rsidRDefault="003D160B" w:rsidP="00A5605D">
            <w:pPr>
              <w:jc w:val="right"/>
              <w:rPr>
                <w:b/>
                <w:snapToGrid w:val="0"/>
                <w:color w:val="000000"/>
                <w:sz w:val="22"/>
                <w:szCs w:val="22"/>
              </w:rPr>
            </w:pPr>
          </w:p>
        </w:tc>
        <w:tc>
          <w:tcPr>
            <w:tcW w:w="1870" w:type="dxa"/>
            <w:gridSpan w:val="2"/>
          </w:tcPr>
          <w:p w:rsidR="003D160B" w:rsidRPr="00A65986" w:rsidRDefault="003D160B" w:rsidP="00A5605D">
            <w:pPr>
              <w:jc w:val="right"/>
              <w:rPr>
                <w:b/>
                <w:snapToGrid w:val="0"/>
                <w:color w:val="000000"/>
                <w:sz w:val="22"/>
                <w:szCs w:val="22"/>
              </w:rPr>
            </w:pPr>
          </w:p>
        </w:tc>
      </w:tr>
      <w:tr w:rsidR="003D160B" w:rsidRPr="00A65986" w:rsidTr="00A65986">
        <w:trPr>
          <w:gridAfter w:val="4"/>
          <w:wAfter w:w="3290" w:type="dxa"/>
          <w:trHeight w:val="250"/>
        </w:trPr>
        <w:tc>
          <w:tcPr>
            <w:tcW w:w="1718" w:type="dxa"/>
          </w:tcPr>
          <w:p w:rsidR="00A65986" w:rsidRDefault="00A65986" w:rsidP="00A5605D">
            <w:pPr>
              <w:rPr>
                <w:snapToGrid w:val="0"/>
                <w:color w:val="000000"/>
                <w:sz w:val="22"/>
                <w:szCs w:val="22"/>
              </w:rPr>
            </w:pPr>
          </w:p>
          <w:p w:rsidR="003D160B" w:rsidRPr="00A65986" w:rsidRDefault="003D160B" w:rsidP="00A5605D">
            <w:pPr>
              <w:rPr>
                <w:snapToGrid w:val="0"/>
                <w:color w:val="000000"/>
                <w:sz w:val="22"/>
                <w:szCs w:val="22"/>
              </w:rPr>
            </w:pPr>
            <w:smartTag w:uri="urn:schemas-microsoft-com:office:smarttags" w:element="stockticker">
              <w:r w:rsidRPr="00A65986">
                <w:rPr>
                  <w:snapToGrid w:val="0"/>
                  <w:color w:val="000000"/>
                  <w:sz w:val="22"/>
                  <w:szCs w:val="22"/>
                </w:rPr>
                <w:t>SITE</w:t>
              </w:r>
            </w:smartTag>
          </w:p>
        </w:tc>
        <w:tc>
          <w:tcPr>
            <w:tcW w:w="1138" w:type="dxa"/>
          </w:tcPr>
          <w:p w:rsidR="00A65986" w:rsidRDefault="00A65986" w:rsidP="00A5605D">
            <w:pPr>
              <w:rPr>
                <w:snapToGrid w:val="0"/>
                <w:color w:val="000000"/>
                <w:sz w:val="22"/>
                <w:szCs w:val="22"/>
              </w:rPr>
            </w:pPr>
          </w:p>
          <w:p w:rsidR="003D160B" w:rsidRPr="00A65986" w:rsidRDefault="003D160B" w:rsidP="00A5605D">
            <w:pPr>
              <w:rPr>
                <w:snapToGrid w:val="0"/>
                <w:color w:val="000000"/>
                <w:sz w:val="22"/>
                <w:szCs w:val="22"/>
              </w:rPr>
            </w:pPr>
            <w:r w:rsidRPr="00A65986">
              <w:rPr>
                <w:snapToGrid w:val="0"/>
                <w:color w:val="000000"/>
                <w:sz w:val="22"/>
                <w:szCs w:val="22"/>
              </w:rPr>
              <w:t>DYNASTY</w:t>
            </w:r>
          </w:p>
        </w:tc>
        <w:tc>
          <w:tcPr>
            <w:tcW w:w="850" w:type="dxa"/>
          </w:tcPr>
          <w:p w:rsidR="00A65986" w:rsidRDefault="00A65986" w:rsidP="00A5605D">
            <w:pPr>
              <w:rPr>
                <w:snapToGrid w:val="0"/>
                <w:color w:val="000000"/>
                <w:sz w:val="22"/>
                <w:szCs w:val="22"/>
              </w:rPr>
            </w:pPr>
          </w:p>
          <w:p w:rsidR="003D160B" w:rsidRPr="00A65986" w:rsidRDefault="003D160B" w:rsidP="00A5605D">
            <w:pPr>
              <w:rPr>
                <w:snapToGrid w:val="0"/>
                <w:color w:val="000000"/>
                <w:sz w:val="22"/>
                <w:szCs w:val="22"/>
              </w:rPr>
            </w:pPr>
            <w:r w:rsidRPr="00A65986">
              <w:rPr>
                <w:snapToGrid w:val="0"/>
                <w:color w:val="000000"/>
                <w:sz w:val="22"/>
                <w:szCs w:val="22"/>
              </w:rPr>
              <w:t>LA+LB</w:t>
            </w:r>
          </w:p>
        </w:tc>
        <w:tc>
          <w:tcPr>
            <w:tcW w:w="1056" w:type="dxa"/>
            <w:gridSpan w:val="2"/>
          </w:tcPr>
          <w:p w:rsidR="00A65986" w:rsidRDefault="00A65986" w:rsidP="00A5605D">
            <w:pPr>
              <w:rPr>
                <w:snapToGrid w:val="0"/>
                <w:color w:val="000000"/>
                <w:sz w:val="22"/>
                <w:szCs w:val="22"/>
              </w:rPr>
            </w:pPr>
          </w:p>
          <w:p w:rsidR="003D160B" w:rsidRPr="00A65986" w:rsidRDefault="003D160B" w:rsidP="00A5605D">
            <w:pPr>
              <w:rPr>
                <w:snapToGrid w:val="0"/>
                <w:color w:val="000000"/>
                <w:sz w:val="22"/>
                <w:szCs w:val="22"/>
              </w:rPr>
            </w:pPr>
            <w:r w:rsidRPr="00A65986">
              <w:rPr>
                <w:snapToGrid w:val="0"/>
                <w:color w:val="000000"/>
                <w:sz w:val="22"/>
                <w:szCs w:val="22"/>
              </w:rPr>
              <w:t>BAZ</w:t>
            </w:r>
          </w:p>
        </w:tc>
        <w:tc>
          <w:tcPr>
            <w:tcW w:w="1180" w:type="dxa"/>
            <w:gridSpan w:val="3"/>
          </w:tcPr>
          <w:p w:rsidR="00A65986" w:rsidRDefault="00A65986" w:rsidP="00A5605D">
            <w:pPr>
              <w:rPr>
                <w:snapToGrid w:val="0"/>
                <w:color w:val="000000"/>
                <w:sz w:val="22"/>
                <w:szCs w:val="22"/>
              </w:rPr>
            </w:pPr>
          </w:p>
          <w:p w:rsidR="003D160B" w:rsidRPr="00A65986" w:rsidRDefault="003D160B" w:rsidP="00A5605D">
            <w:pPr>
              <w:rPr>
                <w:snapToGrid w:val="0"/>
                <w:color w:val="000000"/>
                <w:sz w:val="22"/>
                <w:szCs w:val="22"/>
              </w:rPr>
            </w:pPr>
            <w:r w:rsidRPr="00A65986">
              <w:rPr>
                <w:snapToGrid w:val="0"/>
                <w:color w:val="000000"/>
                <w:sz w:val="22"/>
                <w:szCs w:val="22"/>
              </w:rPr>
              <w:t>CAZ</w:t>
            </w:r>
          </w:p>
        </w:tc>
        <w:tc>
          <w:tcPr>
            <w:tcW w:w="788" w:type="dxa"/>
          </w:tcPr>
          <w:p w:rsidR="00A65986" w:rsidRDefault="00A65986" w:rsidP="00A5605D">
            <w:pPr>
              <w:rPr>
                <w:snapToGrid w:val="0"/>
                <w:color w:val="000000"/>
                <w:sz w:val="22"/>
                <w:szCs w:val="22"/>
              </w:rPr>
            </w:pPr>
          </w:p>
          <w:p w:rsidR="003D160B" w:rsidRPr="00A65986" w:rsidRDefault="003D160B" w:rsidP="00A5605D">
            <w:pPr>
              <w:rPr>
                <w:snapToGrid w:val="0"/>
                <w:color w:val="000000"/>
                <w:sz w:val="22"/>
                <w:szCs w:val="22"/>
              </w:rPr>
            </w:pPr>
            <w:r w:rsidRPr="00A65986">
              <w:rPr>
                <w:snapToGrid w:val="0"/>
                <w:color w:val="000000"/>
                <w:sz w:val="22"/>
                <w:szCs w:val="22"/>
              </w:rPr>
              <w:t>DIAM</w:t>
            </w: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r w:rsidRPr="00A65986">
              <w:rPr>
                <w:snapToGrid w:val="0"/>
                <w:color w:val="000000"/>
                <w:sz w:val="22"/>
                <w:szCs w:val="22"/>
              </w:rPr>
              <w:t>Elephantine</w:t>
            </w:r>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3rd/4th</w:t>
            </w:r>
          </w:p>
        </w:tc>
        <w:tc>
          <w:tcPr>
            <w:tcW w:w="850"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056" w:type="dxa"/>
            <w:gridSpan w:val="2"/>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180" w:type="dxa"/>
            <w:gridSpan w:val="3"/>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larger</w:t>
            </w: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r w:rsidRPr="00A65986">
              <w:rPr>
                <w:snapToGrid w:val="0"/>
                <w:color w:val="000000"/>
                <w:sz w:val="22"/>
                <w:szCs w:val="22"/>
              </w:rPr>
              <w:t>Elephantine</w:t>
            </w:r>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6th</w:t>
            </w:r>
          </w:p>
        </w:tc>
        <w:tc>
          <w:tcPr>
            <w:tcW w:w="850" w:type="dxa"/>
          </w:tcPr>
          <w:p w:rsidR="003D160B" w:rsidRPr="00A65986" w:rsidRDefault="003D160B" w:rsidP="00A5605D">
            <w:pPr>
              <w:rPr>
                <w:snapToGrid w:val="0"/>
                <w:color w:val="000000"/>
                <w:sz w:val="22"/>
                <w:szCs w:val="22"/>
              </w:rPr>
            </w:pPr>
            <w:r w:rsidRPr="00A65986">
              <w:rPr>
                <w:snapToGrid w:val="0"/>
                <w:color w:val="000000"/>
                <w:sz w:val="22"/>
                <w:szCs w:val="22"/>
              </w:rPr>
              <w:t>shorter</w:t>
            </w:r>
          </w:p>
        </w:tc>
        <w:tc>
          <w:tcPr>
            <w:tcW w:w="1056" w:type="dxa"/>
            <w:gridSpan w:val="2"/>
          </w:tcPr>
          <w:p w:rsidR="003D160B" w:rsidRPr="00A65986" w:rsidRDefault="003D160B" w:rsidP="00A5605D">
            <w:pPr>
              <w:rPr>
                <w:snapToGrid w:val="0"/>
                <w:color w:val="000000"/>
                <w:sz w:val="22"/>
                <w:szCs w:val="22"/>
              </w:rPr>
            </w:pPr>
            <w:r w:rsidRPr="00A65986">
              <w:rPr>
                <w:snapToGrid w:val="0"/>
                <w:color w:val="000000"/>
                <w:sz w:val="22"/>
                <w:szCs w:val="22"/>
              </w:rPr>
              <w:t>to vertical</w:t>
            </w:r>
          </w:p>
        </w:tc>
        <w:tc>
          <w:tcPr>
            <w:tcW w:w="1180" w:type="dxa"/>
            <w:gridSpan w:val="3"/>
          </w:tcPr>
          <w:p w:rsidR="003D160B" w:rsidRPr="00A65986" w:rsidRDefault="003D160B" w:rsidP="00A5605D">
            <w:pPr>
              <w:rPr>
                <w:snapToGrid w:val="0"/>
                <w:color w:val="000000"/>
                <w:sz w:val="22"/>
                <w:szCs w:val="22"/>
              </w:rPr>
            </w:pPr>
            <w:r w:rsidRPr="00A65986">
              <w:rPr>
                <w:snapToGrid w:val="0"/>
                <w:color w:val="000000"/>
                <w:sz w:val="22"/>
                <w:szCs w:val="22"/>
              </w:rPr>
              <w:t>to horizontal</w:t>
            </w:r>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larger</w:t>
            </w:r>
          </w:p>
        </w:tc>
      </w:tr>
      <w:tr w:rsidR="003D160B" w:rsidRPr="00A65986" w:rsidTr="00A65986">
        <w:trPr>
          <w:gridAfter w:val="1"/>
          <w:wAfter w:w="90" w:type="dxa"/>
          <w:trHeight w:val="250"/>
        </w:trPr>
        <w:tc>
          <w:tcPr>
            <w:tcW w:w="8150" w:type="dxa"/>
            <w:gridSpan w:val="11"/>
          </w:tcPr>
          <w:p w:rsidR="00A65986" w:rsidRDefault="00A65986" w:rsidP="00A5605D">
            <w:pPr>
              <w:rPr>
                <w:b/>
                <w:snapToGrid w:val="0"/>
                <w:color w:val="000000"/>
                <w:sz w:val="22"/>
                <w:szCs w:val="22"/>
              </w:rPr>
            </w:pPr>
          </w:p>
          <w:p w:rsidR="003D160B" w:rsidRDefault="003D160B" w:rsidP="00A5605D">
            <w:pPr>
              <w:rPr>
                <w:b/>
                <w:snapToGrid w:val="0"/>
                <w:color w:val="000000"/>
                <w:sz w:val="22"/>
                <w:szCs w:val="22"/>
              </w:rPr>
            </w:pPr>
            <w:r w:rsidRPr="00A65986">
              <w:rPr>
                <w:b/>
                <w:snapToGrid w:val="0"/>
                <w:color w:val="000000"/>
                <w:sz w:val="22"/>
                <w:szCs w:val="22"/>
              </w:rPr>
              <w:t>Summary of differences from Elephantine 3rd and 4th Dynasty and Giza</w:t>
            </w:r>
          </w:p>
          <w:p w:rsidR="00A65986" w:rsidRPr="00A65986" w:rsidRDefault="00A65986" w:rsidP="00A5605D">
            <w:pPr>
              <w:rPr>
                <w:b/>
                <w:snapToGrid w:val="0"/>
                <w:color w:val="000000"/>
                <w:sz w:val="22"/>
                <w:szCs w:val="22"/>
              </w:rPr>
            </w:pPr>
          </w:p>
        </w:tc>
        <w:tc>
          <w:tcPr>
            <w:tcW w:w="1780" w:type="dxa"/>
          </w:tcPr>
          <w:p w:rsidR="003D160B" w:rsidRPr="00A65986" w:rsidRDefault="003D160B" w:rsidP="00A5605D">
            <w:pPr>
              <w:jc w:val="right"/>
              <w:rPr>
                <w:snapToGrid w:val="0"/>
                <w:color w:val="000000"/>
                <w:sz w:val="22"/>
                <w:szCs w:val="22"/>
              </w:rPr>
            </w:pP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smartTag w:uri="urn:schemas-microsoft-com:office:smarttags" w:element="stockticker">
              <w:r w:rsidRPr="00A65986">
                <w:rPr>
                  <w:snapToGrid w:val="0"/>
                  <w:color w:val="000000"/>
                  <w:sz w:val="22"/>
                  <w:szCs w:val="22"/>
                </w:rPr>
                <w:t>SITE</w:t>
              </w:r>
            </w:smartTag>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DYNASTY</w:t>
            </w:r>
          </w:p>
        </w:tc>
        <w:tc>
          <w:tcPr>
            <w:tcW w:w="850" w:type="dxa"/>
          </w:tcPr>
          <w:p w:rsidR="003D160B" w:rsidRPr="00A65986" w:rsidRDefault="003D160B" w:rsidP="00A5605D">
            <w:pPr>
              <w:rPr>
                <w:snapToGrid w:val="0"/>
                <w:color w:val="000000"/>
                <w:sz w:val="22"/>
                <w:szCs w:val="22"/>
              </w:rPr>
            </w:pPr>
            <w:r w:rsidRPr="00A65986">
              <w:rPr>
                <w:snapToGrid w:val="0"/>
                <w:color w:val="000000"/>
                <w:sz w:val="22"/>
                <w:szCs w:val="22"/>
              </w:rPr>
              <w:t>LA+LB</w:t>
            </w:r>
          </w:p>
        </w:tc>
        <w:tc>
          <w:tcPr>
            <w:tcW w:w="1056" w:type="dxa"/>
            <w:gridSpan w:val="2"/>
          </w:tcPr>
          <w:p w:rsidR="003D160B" w:rsidRPr="00A65986" w:rsidRDefault="003D160B" w:rsidP="00A5605D">
            <w:pPr>
              <w:rPr>
                <w:snapToGrid w:val="0"/>
                <w:color w:val="000000"/>
                <w:sz w:val="22"/>
                <w:szCs w:val="22"/>
              </w:rPr>
            </w:pPr>
            <w:r w:rsidRPr="00A65986">
              <w:rPr>
                <w:snapToGrid w:val="0"/>
                <w:color w:val="000000"/>
                <w:sz w:val="22"/>
                <w:szCs w:val="22"/>
              </w:rPr>
              <w:t>BAZ</w:t>
            </w:r>
          </w:p>
        </w:tc>
        <w:tc>
          <w:tcPr>
            <w:tcW w:w="1180" w:type="dxa"/>
            <w:gridSpan w:val="3"/>
          </w:tcPr>
          <w:p w:rsidR="003D160B" w:rsidRPr="00A65986" w:rsidRDefault="003D160B" w:rsidP="00A5605D">
            <w:pPr>
              <w:rPr>
                <w:snapToGrid w:val="0"/>
                <w:color w:val="000000"/>
                <w:sz w:val="22"/>
                <w:szCs w:val="22"/>
              </w:rPr>
            </w:pPr>
            <w:r w:rsidRPr="00A65986">
              <w:rPr>
                <w:snapToGrid w:val="0"/>
                <w:color w:val="000000"/>
                <w:sz w:val="22"/>
                <w:szCs w:val="22"/>
              </w:rPr>
              <w:t>CAZ</w:t>
            </w:r>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DIAM</w:t>
            </w: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r w:rsidRPr="00A65986">
              <w:rPr>
                <w:snapToGrid w:val="0"/>
                <w:color w:val="000000"/>
                <w:sz w:val="22"/>
                <w:szCs w:val="22"/>
              </w:rPr>
              <w:t>Giza</w:t>
            </w:r>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4th</w:t>
            </w:r>
          </w:p>
        </w:tc>
        <w:tc>
          <w:tcPr>
            <w:tcW w:w="850" w:type="dxa"/>
          </w:tcPr>
          <w:p w:rsidR="003D160B" w:rsidRPr="00A65986" w:rsidRDefault="003D160B" w:rsidP="00A5605D">
            <w:pPr>
              <w:rPr>
                <w:snapToGrid w:val="0"/>
                <w:color w:val="000000"/>
                <w:sz w:val="22"/>
                <w:szCs w:val="22"/>
              </w:rPr>
            </w:pPr>
            <w:r w:rsidRPr="00A65986">
              <w:rPr>
                <w:snapToGrid w:val="0"/>
                <w:color w:val="000000"/>
                <w:sz w:val="22"/>
                <w:szCs w:val="22"/>
              </w:rPr>
              <w:t>shorter</w:t>
            </w:r>
          </w:p>
        </w:tc>
        <w:tc>
          <w:tcPr>
            <w:tcW w:w="1056" w:type="dxa"/>
            <w:gridSpan w:val="2"/>
          </w:tcPr>
          <w:p w:rsidR="003D160B" w:rsidRPr="00A65986" w:rsidRDefault="003D160B" w:rsidP="00A5605D">
            <w:pPr>
              <w:rPr>
                <w:snapToGrid w:val="0"/>
                <w:color w:val="000000"/>
                <w:sz w:val="22"/>
                <w:szCs w:val="22"/>
              </w:rPr>
            </w:pPr>
            <w:r w:rsidRPr="00A65986">
              <w:rPr>
                <w:snapToGrid w:val="0"/>
                <w:color w:val="000000"/>
                <w:sz w:val="22"/>
                <w:szCs w:val="22"/>
              </w:rPr>
              <w:t>to vertical</w:t>
            </w:r>
          </w:p>
        </w:tc>
        <w:tc>
          <w:tcPr>
            <w:tcW w:w="1180" w:type="dxa"/>
            <w:gridSpan w:val="3"/>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larger</w:t>
            </w:r>
          </w:p>
        </w:tc>
      </w:tr>
      <w:tr w:rsidR="003D160B" w:rsidRPr="00A65986" w:rsidTr="00A65986">
        <w:trPr>
          <w:trHeight w:val="250"/>
        </w:trPr>
        <w:tc>
          <w:tcPr>
            <w:tcW w:w="10020" w:type="dxa"/>
            <w:gridSpan w:val="13"/>
          </w:tcPr>
          <w:p w:rsidR="00A65986" w:rsidRDefault="00A65986" w:rsidP="00A5605D">
            <w:pPr>
              <w:rPr>
                <w:b/>
                <w:snapToGrid w:val="0"/>
                <w:color w:val="000000"/>
                <w:sz w:val="22"/>
                <w:szCs w:val="22"/>
              </w:rPr>
            </w:pPr>
          </w:p>
          <w:p w:rsidR="003D160B" w:rsidRDefault="003D160B" w:rsidP="00A5605D">
            <w:pPr>
              <w:rPr>
                <w:b/>
                <w:snapToGrid w:val="0"/>
                <w:color w:val="000000"/>
                <w:sz w:val="22"/>
                <w:szCs w:val="22"/>
              </w:rPr>
            </w:pPr>
            <w:r w:rsidRPr="00A65986">
              <w:rPr>
                <w:b/>
                <w:snapToGrid w:val="0"/>
                <w:color w:val="000000"/>
                <w:sz w:val="22"/>
                <w:szCs w:val="22"/>
              </w:rPr>
              <w:t>Summary of differences between early assemblages and the 6th Dynasty material from Elephantine</w:t>
            </w:r>
          </w:p>
          <w:p w:rsidR="00A65986" w:rsidRPr="00A65986" w:rsidRDefault="00A65986" w:rsidP="00A5605D">
            <w:pPr>
              <w:rPr>
                <w:b/>
                <w:snapToGrid w:val="0"/>
                <w:color w:val="000000"/>
                <w:sz w:val="22"/>
                <w:szCs w:val="22"/>
              </w:rPr>
            </w:pP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smartTag w:uri="urn:schemas-microsoft-com:office:smarttags" w:element="stockticker">
              <w:r w:rsidRPr="00A65986">
                <w:rPr>
                  <w:snapToGrid w:val="0"/>
                  <w:color w:val="000000"/>
                  <w:sz w:val="22"/>
                  <w:szCs w:val="22"/>
                </w:rPr>
                <w:t>SITE</w:t>
              </w:r>
            </w:smartTag>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DYNASTY</w:t>
            </w:r>
          </w:p>
        </w:tc>
        <w:tc>
          <w:tcPr>
            <w:tcW w:w="850" w:type="dxa"/>
          </w:tcPr>
          <w:p w:rsidR="003D160B" w:rsidRPr="00A65986" w:rsidRDefault="003D160B" w:rsidP="00A5605D">
            <w:pPr>
              <w:rPr>
                <w:snapToGrid w:val="0"/>
                <w:color w:val="000000"/>
                <w:sz w:val="22"/>
                <w:szCs w:val="22"/>
              </w:rPr>
            </w:pPr>
            <w:r w:rsidRPr="00A65986">
              <w:rPr>
                <w:snapToGrid w:val="0"/>
                <w:color w:val="000000"/>
                <w:sz w:val="22"/>
                <w:szCs w:val="22"/>
              </w:rPr>
              <w:t>LA+LB</w:t>
            </w:r>
          </w:p>
        </w:tc>
        <w:tc>
          <w:tcPr>
            <w:tcW w:w="1056" w:type="dxa"/>
            <w:gridSpan w:val="2"/>
          </w:tcPr>
          <w:p w:rsidR="003D160B" w:rsidRPr="00A65986" w:rsidRDefault="003D160B" w:rsidP="00A5605D">
            <w:pPr>
              <w:rPr>
                <w:snapToGrid w:val="0"/>
                <w:color w:val="000000"/>
                <w:sz w:val="22"/>
                <w:szCs w:val="22"/>
              </w:rPr>
            </w:pPr>
            <w:r w:rsidRPr="00A65986">
              <w:rPr>
                <w:snapToGrid w:val="0"/>
                <w:color w:val="000000"/>
                <w:sz w:val="22"/>
                <w:szCs w:val="22"/>
              </w:rPr>
              <w:t>BAZ</w:t>
            </w:r>
          </w:p>
        </w:tc>
        <w:tc>
          <w:tcPr>
            <w:tcW w:w="1180" w:type="dxa"/>
            <w:gridSpan w:val="3"/>
          </w:tcPr>
          <w:p w:rsidR="003D160B" w:rsidRPr="00A65986" w:rsidRDefault="003D160B" w:rsidP="00A5605D">
            <w:pPr>
              <w:rPr>
                <w:snapToGrid w:val="0"/>
                <w:color w:val="000000"/>
                <w:sz w:val="22"/>
                <w:szCs w:val="22"/>
              </w:rPr>
            </w:pPr>
            <w:r w:rsidRPr="00A65986">
              <w:rPr>
                <w:snapToGrid w:val="0"/>
                <w:color w:val="000000"/>
                <w:sz w:val="22"/>
                <w:szCs w:val="22"/>
              </w:rPr>
              <w:t>CAZ</w:t>
            </w:r>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DIAM</w:t>
            </w: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r w:rsidRPr="00A65986">
              <w:rPr>
                <w:snapToGrid w:val="0"/>
                <w:color w:val="000000"/>
                <w:sz w:val="22"/>
                <w:szCs w:val="22"/>
              </w:rPr>
              <w:t>Giza</w:t>
            </w:r>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4th</w:t>
            </w:r>
          </w:p>
        </w:tc>
        <w:tc>
          <w:tcPr>
            <w:tcW w:w="850" w:type="dxa"/>
          </w:tcPr>
          <w:p w:rsidR="003D160B" w:rsidRPr="00A65986" w:rsidRDefault="003D160B" w:rsidP="00A5605D">
            <w:pPr>
              <w:rPr>
                <w:snapToGrid w:val="0"/>
                <w:color w:val="000000"/>
                <w:sz w:val="22"/>
                <w:szCs w:val="22"/>
              </w:rPr>
            </w:pPr>
            <w:r w:rsidRPr="00A65986">
              <w:rPr>
                <w:snapToGrid w:val="0"/>
                <w:color w:val="000000"/>
                <w:sz w:val="22"/>
                <w:szCs w:val="22"/>
              </w:rPr>
              <w:t>longer</w:t>
            </w:r>
          </w:p>
        </w:tc>
        <w:tc>
          <w:tcPr>
            <w:tcW w:w="1056" w:type="dxa"/>
            <w:gridSpan w:val="2"/>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180" w:type="dxa"/>
            <w:gridSpan w:val="3"/>
          </w:tcPr>
          <w:p w:rsidR="003D160B" w:rsidRPr="00A65986" w:rsidRDefault="003D160B" w:rsidP="00A5605D">
            <w:pPr>
              <w:rPr>
                <w:snapToGrid w:val="0"/>
                <w:color w:val="000000"/>
                <w:sz w:val="22"/>
                <w:szCs w:val="22"/>
              </w:rPr>
            </w:pPr>
            <w:r w:rsidRPr="00A65986">
              <w:rPr>
                <w:snapToGrid w:val="0"/>
                <w:color w:val="000000"/>
                <w:sz w:val="22"/>
                <w:szCs w:val="22"/>
              </w:rPr>
              <w:t>to vertical</w:t>
            </w:r>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smaller</w:t>
            </w:r>
          </w:p>
        </w:tc>
      </w:tr>
      <w:tr w:rsidR="003D160B" w:rsidRPr="00A65986" w:rsidTr="00A65986">
        <w:trPr>
          <w:trHeight w:val="250"/>
        </w:trPr>
        <w:tc>
          <w:tcPr>
            <w:tcW w:w="6970" w:type="dxa"/>
            <w:gridSpan w:val="10"/>
          </w:tcPr>
          <w:p w:rsidR="00A65986" w:rsidRDefault="00A65986" w:rsidP="00A5605D">
            <w:pPr>
              <w:rPr>
                <w:b/>
                <w:snapToGrid w:val="0"/>
                <w:color w:val="000000"/>
                <w:sz w:val="22"/>
                <w:szCs w:val="22"/>
              </w:rPr>
            </w:pPr>
          </w:p>
          <w:p w:rsidR="003D160B" w:rsidRDefault="003D160B" w:rsidP="00A5605D">
            <w:pPr>
              <w:rPr>
                <w:b/>
                <w:snapToGrid w:val="0"/>
                <w:color w:val="000000"/>
                <w:sz w:val="22"/>
                <w:szCs w:val="22"/>
              </w:rPr>
            </w:pPr>
            <w:r w:rsidRPr="00A65986">
              <w:rPr>
                <w:b/>
                <w:snapToGrid w:val="0"/>
                <w:color w:val="000000"/>
                <w:sz w:val="22"/>
                <w:szCs w:val="22"/>
              </w:rPr>
              <w:t>Summary of differences between 6</w:t>
            </w:r>
            <w:r w:rsidRPr="00A65986">
              <w:rPr>
                <w:b/>
                <w:snapToGrid w:val="0"/>
                <w:color w:val="000000"/>
                <w:sz w:val="22"/>
                <w:szCs w:val="22"/>
                <w:vertAlign w:val="superscript"/>
              </w:rPr>
              <w:t>th</w:t>
            </w:r>
            <w:r w:rsidRPr="00A65986">
              <w:rPr>
                <w:b/>
                <w:snapToGrid w:val="0"/>
                <w:color w:val="000000"/>
                <w:sz w:val="22"/>
                <w:szCs w:val="22"/>
              </w:rPr>
              <w:t xml:space="preserve"> Dynasty Elephantine and other 6</w:t>
            </w:r>
            <w:r w:rsidRPr="00A65986">
              <w:rPr>
                <w:b/>
                <w:snapToGrid w:val="0"/>
                <w:color w:val="000000"/>
                <w:sz w:val="22"/>
                <w:szCs w:val="22"/>
                <w:vertAlign w:val="superscript"/>
              </w:rPr>
              <w:t>th</w:t>
            </w:r>
            <w:r w:rsidRPr="00A65986">
              <w:rPr>
                <w:b/>
                <w:snapToGrid w:val="0"/>
                <w:color w:val="000000"/>
                <w:sz w:val="22"/>
                <w:szCs w:val="22"/>
              </w:rPr>
              <w:t xml:space="preserve"> Dynasty assemblages</w:t>
            </w:r>
          </w:p>
          <w:p w:rsidR="00A65986" w:rsidRPr="00A65986" w:rsidRDefault="00A65986" w:rsidP="00A5605D">
            <w:pPr>
              <w:rPr>
                <w:b/>
                <w:snapToGrid w:val="0"/>
                <w:color w:val="000000"/>
                <w:sz w:val="22"/>
                <w:szCs w:val="22"/>
              </w:rPr>
            </w:pPr>
          </w:p>
        </w:tc>
        <w:tc>
          <w:tcPr>
            <w:tcW w:w="1180" w:type="dxa"/>
          </w:tcPr>
          <w:p w:rsidR="003D160B" w:rsidRPr="00A65986" w:rsidRDefault="003D160B" w:rsidP="00A5605D">
            <w:pPr>
              <w:jc w:val="right"/>
              <w:rPr>
                <w:b/>
                <w:snapToGrid w:val="0"/>
                <w:color w:val="000000"/>
                <w:sz w:val="22"/>
                <w:szCs w:val="22"/>
              </w:rPr>
            </w:pPr>
          </w:p>
        </w:tc>
        <w:tc>
          <w:tcPr>
            <w:tcW w:w="1870" w:type="dxa"/>
            <w:gridSpan w:val="2"/>
          </w:tcPr>
          <w:p w:rsidR="003D160B" w:rsidRPr="00A65986" w:rsidRDefault="003D160B" w:rsidP="00A5605D">
            <w:pPr>
              <w:jc w:val="right"/>
              <w:rPr>
                <w:b/>
                <w:snapToGrid w:val="0"/>
                <w:color w:val="000000"/>
                <w:sz w:val="22"/>
                <w:szCs w:val="22"/>
              </w:rPr>
            </w:pP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smartTag w:uri="urn:schemas-microsoft-com:office:smarttags" w:element="stockticker">
              <w:r w:rsidRPr="00A65986">
                <w:rPr>
                  <w:snapToGrid w:val="0"/>
                  <w:color w:val="000000"/>
                  <w:sz w:val="22"/>
                  <w:szCs w:val="22"/>
                </w:rPr>
                <w:t>SITE</w:t>
              </w:r>
            </w:smartTag>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DYNASTY</w:t>
            </w:r>
          </w:p>
        </w:tc>
        <w:tc>
          <w:tcPr>
            <w:tcW w:w="850" w:type="dxa"/>
          </w:tcPr>
          <w:p w:rsidR="003D160B" w:rsidRPr="00A65986" w:rsidRDefault="003D160B" w:rsidP="00A5605D">
            <w:pPr>
              <w:rPr>
                <w:snapToGrid w:val="0"/>
                <w:color w:val="000000"/>
                <w:sz w:val="22"/>
                <w:szCs w:val="22"/>
              </w:rPr>
            </w:pPr>
            <w:r w:rsidRPr="00A65986">
              <w:rPr>
                <w:snapToGrid w:val="0"/>
                <w:color w:val="000000"/>
                <w:sz w:val="22"/>
                <w:szCs w:val="22"/>
              </w:rPr>
              <w:t>LA+LB</w:t>
            </w:r>
          </w:p>
        </w:tc>
        <w:tc>
          <w:tcPr>
            <w:tcW w:w="1056" w:type="dxa"/>
            <w:gridSpan w:val="2"/>
          </w:tcPr>
          <w:p w:rsidR="003D160B" w:rsidRPr="00A65986" w:rsidRDefault="003D160B" w:rsidP="00A5605D">
            <w:pPr>
              <w:rPr>
                <w:snapToGrid w:val="0"/>
                <w:color w:val="000000"/>
                <w:sz w:val="22"/>
                <w:szCs w:val="22"/>
              </w:rPr>
            </w:pPr>
            <w:r w:rsidRPr="00A65986">
              <w:rPr>
                <w:snapToGrid w:val="0"/>
                <w:color w:val="000000"/>
                <w:sz w:val="22"/>
                <w:szCs w:val="22"/>
              </w:rPr>
              <w:t>BAZ</w:t>
            </w:r>
          </w:p>
        </w:tc>
        <w:tc>
          <w:tcPr>
            <w:tcW w:w="1180" w:type="dxa"/>
            <w:gridSpan w:val="3"/>
          </w:tcPr>
          <w:p w:rsidR="003D160B" w:rsidRPr="00A65986" w:rsidRDefault="003D160B" w:rsidP="00A5605D">
            <w:pPr>
              <w:rPr>
                <w:snapToGrid w:val="0"/>
                <w:color w:val="000000"/>
                <w:sz w:val="22"/>
                <w:szCs w:val="22"/>
              </w:rPr>
            </w:pPr>
            <w:r w:rsidRPr="00A65986">
              <w:rPr>
                <w:snapToGrid w:val="0"/>
                <w:color w:val="000000"/>
                <w:sz w:val="22"/>
                <w:szCs w:val="22"/>
              </w:rPr>
              <w:t>CAZ</w:t>
            </w:r>
          </w:p>
        </w:tc>
        <w:tc>
          <w:tcPr>
            <w:tcW w:w="788" w:type="dxa"/>
          </w:tcPr>
          <w:p w:rsidR="003D160B" w:rsidRPr="00A65986" w:rsidRDefault="003D160B" w:rsidP="00A5605D">
            <w:pPr>
              <w:rPr>
                <w:snapToGrid w:val="0"/>
                <w:color w:val="000000"/>
                <w:sz w:val="22"/>
                <w:szCs w:val="22"/>
              </w:rPr>
            </w:pPr>
            <w:r w:rsidRPr="00A65986">
              <w:rPr>
                <w:snapToGrid w:val="0"/>
                <w:color w:val="000000"/>
                <w:sz w:val="22"/>
                <w:szCs w:val="22"/>
              </w:rPr>
              <w:t>DIAM</w:t>
            </w:r>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Teti</w:t>
            </w:r>
            <w:proofErr w:type="spellEnd"/>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6th</w:t>
            </w:r>
          </w:p>
        </w:tc>
        <w:tc>
          <w:tcPr>
            <w:tcW w:w="850"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056" w:type="dxa"/>
            <w:gridSpan w:val="2"/>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180" w:type="dxa"/>
            <w:gridSpan w:val="3"/>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788"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r>
      <w:tr w:rsidR="003D160B" w:rsidRPr="00A65986" w:rsidTr="00A65986">
        <w:trPr>
          <w:gridAfter w:val="4"/>
          <w:wAfter w:w="3290" w:type="dxa"/>
          <w:trHeight w:val="250"/>
        </w:trPr>
        <w:tc>
          <w:tcPr>
            <w:tcW w:w="1718"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Kom</w:t>
            </w:r>
            <w:proofErr w:type="spellEnd"/>
            <w:r w:rsidRPr="00A65986">
              <w:rPr>
                <w:snapToGrid w:val="0"/>
                <w:color w:val="000000"/>
                <w:sz w:val="22"/>
                <w:szCs w:val="22"/>
              </w:rPr>
              <w:t xml:space="preserve"> el-</w:t>
            </w:r>
            <w:proofErr w:type="spellStart"/>
            <w:r w:rsidRPr="00A65986">
              <w:rPr>
                <w:snapToGrid w:val="0"/>
                <w:color w:val="000000"/>
                <w:sz w:val="22"/>
                <w:szCs w:val="22"/>
              </w:rPr>
              <w:t>Hisn</w:t>
            </w:r>
            <w:proofErr w:type="spellEnd"/>
            <w:r w:rsidRPr="00A65986">
              <w:rPr>
                <w:snapToGrid w:val="0"/>
                <w:color w:val="000000"/>
                <w:sz w:val="22"/>
                <w:szCs w:val="22"/>
              </w:rPr>
              <w:t xml:space="preserve"> </w:t>
            </w:r>
          </w:p>
        </w:tc>
        <w:tc>
          <w:tcPr>
            <w:tcW w:w="1138" w:type="dxa"/>
          </w:tcPr>
          <w:p w:rsidR="003D160B" w:rsidRPr="00A65986" w:rsidRDefault="003D160B" w:rsidP="00A5605D">
            <w:pPr>
              <w:rPr>
                <w:snapToGrid w:val="0"/>
                <w:color w:val="000000"/>
                <w:sz w:val="22"/>
                <w:szCs w:val="22"/>
              </w:rPr>
            </w:pPr>
            <w:r w:rsidRPr="00A65986">
              <w:rPr>
                <w:snapToGrid w:val="0"/>
                <w:color w:val="000000"/>
                <w:sz w:val="22"/>
                <w:szCs w:val="22"/>
              </w:rPr>
              <w:t>6th</w:t>
            </w:r>
          </w:p>
        </w:tc>
        <w:tc>
          <w:tcPr>
            <w:tcW w:w="850"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056" w:type="dxa"/>
            <w:gridSpan w:val="2"/>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1180" w:type="dxa"/>
            <w:gridSpan w:val="3"/>
          </w:tcPr>
          <w:p w:rsidR="003D160B" w:rsidRPr="00A65986" w:rsidRDefault="003D160B" w:rsidP="00A5605D">
            <w:pPr>
              <w:rPr>
                <w:snapToGrid w:val="0"/>
                <w:color w:val="000000"/>
                <w:sz w:val="22"/>
                <w:szCs w:val="22"/>
              </w:rPr>
            </w:pPr>
            <w:r w:rsidRPr="00A65986">
              <w:rPr>
                <w:snapToGrid w:val="0"/>
                <w:color w:val="000000"/>
                <w:sz w:val="22"/>
                <w:szCs w:val="22"/>
              </w:rPr>
              <w:t>to vertical</w:t>
            </w:r>
          </w:p>
        </w:tc>
        <w:tc>
          <w:tcPr>
            <w:tcW w:w="788"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r>
      <w:tr w:rsidR="003D160B" w:rsidRPr="00A65986" w:rsidTr="00A65986">
        <w:trPr>
          <w:trHeight w:val="250"/>
        </w:trPr>
        <w:tc>
          <w:tcPr>
            <w:tcW w:w="1718" w:type="dxa"/>
          </w:tcPr>
          <w:p w:rsidR="003D160B" w:rsidRPr="00A65986" w:rsidRDefault="003D160B" w:rsidP="00A5605D">
            <w:pPr>
              <w:jc w:val="right"/>
              <w:rPr>
                <w:snapToGrid w:val="0"/>
                <w:color w:val="000000"/>
                <w:sz w:val="22"/>
                <w:szCs w:val="22"/>
              </w:rPr>
            </w:pPr>
          </w:p>
        </w:tc>
        <w:tc>
          <w:tcPr>
            <w:tcW w:w="1138" w:type="dxa"/>
          </w:tcPr>
          <w:p w:rsidR="003D160B" w:rsidRPr="00A65986" w:rsidRDefault="003D160B" w:rsidP="00A5605D">
            <w:pPr>
              <w:jc w:val="right"/>
              <w:rPr>
                <w:snapToGrid w:val="0"/>
                <w:color w:val="000000"/>
                <w:sz w:val="22"/>
                <w:szCs w:val="22"/>
              </w:rPr>
            </w:pPr>
          </w:p>
        </w:tc>
        <w:tc>
          <w:tcPr>
            <w:tcW w:w="1200" w:type="dxa"/>
            <w:gridSpan w:val="2"/>
          </w:tcPr>
          <w:p w:rsidR="003D160B" w:rsidRPr="00A65986" w:rsidRDefault="003D160B" w:rsidP="00A5605D">
            <w:pPr>
              <w:jc w:val="right"/>
              <w:rPr>
                <w:snapToGrid w:val="0"/>
                <w:color w:val="000000"/>
                <w:sz w:val="22"/>
                <w:szCs w:val="22"/>
              </w:rPr>
            </w:pPr>
          </w:p>
        </w:tc>
        <w:tc>
          <w:tcPr>
            <w:tcW w:w="850" w:type="dxa"/>
            <w:gridSpan w:val="2"/>
          </w:tcPr>
          <w:p w:rsidR="003D160B" w:rsidRPr="00A65986" w:rsidRDefault="003D160B" w:rsidP="00A5605D">
            <w:pPr>
              <w:jc w:val="right"/>
              <w:rPr>
                <w:snapToGrid w:val="0"/>
                <w:color w:val="000000"/>
                <w:sz w:val="22"/>
                <w:szCs w:val="22"/>
              </w:rPr>
            </w:pPr>
          </w:p>
        </w:tc>
        <w:tc>
          <w:tcPr>
            <w:tcW w:w="1008" w:type="dxa"/>
          </w:tcPr>
          <w:p w:rsidR="003D160B" w:rsidRPr="00A65986" w:rsidRDefault="003D160B" w:rsidP="00A5605D">
            <w:pPr>
              <w:jc w:val="right"/>
              <w:rPr>
                <w:snapToGrid w:val="0"/>
                <w:color w:val="000000"/>
                <w:sz w:val="22"/>
                <w:szCs w:val="22"/>
              </w:rPr>
            </w:pPr>
          </w:p>
        </w:tc>
        <w:tc>
          <w:tcPr>
            <w:tcW w:w="1056" w:type="dxa"/>
            <w:gridSpan w:val="3"/>
          </w:tcPr>
          <w:p w:rsidR="003D160B" w:rsidRPr="00A65986" w:rsidRDefault="003D160B" w:rsidP="00A5605D">
            <w:pPr>
              <w:jc w:val="right"/>
              <w:rPr>
                <w:snapToGrid w:val="0"/>
                <w:color w:val="000000"/>
                <w:sz w:val="22"/>
                <w:szCs w:val="22"/>
              </w:rPr>
            </w:pPr>
          </w:p>
        </w:tc>
        <w:tc>
          <w:tcPr>
            <w:tcW w:w="1180" w:type="dxa"/>
          </w:tcPr>
          <w:p w:rsidR="003D160B" w:rsidRPr="00A65986" w:rsidRDefault="003D160B" w:rsidP="00A5605D">
            <w:pPr>
              <w:jc w:val="right"/>
              <w:rPr>
                <w:snapToGrid w:val="0"/>
                <w:color w:val="000000"/>
                <w:sz w:val="22"/>
                <w:szCs w:val="22"/>
              </w:rPr>
            </w:pPr>
          </w:p>
        </w:tc>
        <w:tc>
          <w:tcPr>
            <w:tcW w:w="1870" w:type="dxa"/>
            <w:gridSpan w:val="2"/>
          </w:tcPr>
          <w:p w:rsidR="003D160B" w:rsidRPr="00A65986" w:rsidRDefault="003D160B" w:rsidP="00A5605D">
            <w:pPr>
              <w:jc w:val="right"/>
              <w:rPr>
                <w:snapToGrid w:val="0"/>
                <w:color w:val="000000"/>
                <w:sz w:val="22"/>
                <w:szCs w:val="22"/>
              </w:rPr>
            </w:pPr>
          </w:p>
        </w:tc>
      </w:tr>
      <w:tr w:rsidR="003D160B" w:rsidRPr="00A65986" w:rsidTr="00A65986">
        <w:trPr>
          <w:trHeight w:val="250"/>
        </w:trPr>
        <w:tc>
          <w:tcPr>
            <w:tcW w:w="1718" w:type="dxa"/>
          </w:tcPr>
          <w:p w:rsidR="003D160B" w:rsidRPr="00A65986" w:rsidRDefault="003D160B" w:rsidP="00A5605D">
            <w:pPr>
              <w:rPr>
                <w:snapToGrid w:val="0"/>
                <w:color w:val="000000"/>
                <w:sz w:val="22"/>
                <w:szCs w:val="22"/>
              </w:rPr>
            </w:pPr>
            <w:r w:rsidRPr="00A65986">
              <w:rPr>
                <w:snapToGrid w:val="0"/>
                <w:color w:val="000000"/>
                <w:sz w:val="22"/>
                <w:szCs w:val="22"/>
              </w:rPr>
              <w:t>BAZ</w:t>
            </w:r>
          </w:p>
        </w:tc>
        <w:tc>
          <w:tcPr>
            <w:tcW w:w="2338" w:type="dxa"/>
            <w:gridSpan w:val="3"/>
          </w:tcPr>
          <w:p w:rsidR="003D160B" w:rsidRPr="00A65986" w:rsidRDefault="003D160B" w:rsidP="00A5605D">
            <w:pPr>
              <w:rPr>
                <w:snapToGrid w:val="0"/>
                <w:color w:val="000000"/>
                <w:sz w:val="22"/>
                <w:szCs w:val="22"/>
              </w:rPr>
            </w:pPr>
            <w:r w:rsidRPr="00A65986">
              <w:rPr>
                <w:snapToGrid w:val="0"/>
                <w:color w:val="000000"/>
                <w:sz w:val="22"/>
                <w:szCs w:val="22"/>
              </w:rPr>
              <w:t>Vertical toward 180</w:t>
            </w:r>
          </w:p>
        </w:tc>
        <w:tc>
          <w:tcPr>
            <w:tcW w:w="850" w:type="dxa"/>
            <w:gridSpan w:val="2"/>
          </w:tcPr>
          <w:p w:rsidR="003D160B" w:rsidRPr="00A65986" w:rsidRDefault="003D160B" w:rsidP="00A5605D">
            <w:pPr>
              <w:jc w:val="right"/>
              <w:rPr>
                <w:snapToGrid w:val="0"/>
                <w:color w:val="000000"/>
                <w:sz w:val="22"/>
                <w:szCs w:val="22"/>
              </w:rPr>
            </w:pPr>
          </w:p>
        </w:tc>
        <w:tc>
          <w:tcPr>
            <w:tcW w:w="1008" w:type="dxa"/>
          </w:tcPr>
          <w:p w:rsidR="003D160B" w:rsidRPr="00A65986" w:rsidRDefault="003D160B" w:rsidP="00A5605D">
            <w:pPr>
              <w:jc w:val="right"/>
              <w:rPr>
                <w:snapToGrid w:val="0"/>
                <w:color w:val="000000"/>
                <w:sz w:val="22"/>
                <w:szCs w:val="22"/>
              </w:rPr>
            </w:pPr>
          </w:p>
        </w:tc>
        <w:tc>
          <w:tcPr>
            <w:tcW w:w="1056" w:type="dxa"/>
            <w:gridSpan w:val="3"/>
          </w:tcPr>
          <w:p w:rsidR="003D160B" w:rsidRPr="00A65986" w:rsidRDefault="003D160B" w:rsidP="00A5605D">
            <w:pPr>
              <w:jc w:val="right"/>
              <w:rPr>
                <w:snapToGrid w:val="0"/>
                <w:color w:val="000000"/>
                <w:sz w:val="22"/>
                <w:szCs w:val="22"/>
              </w:rPr>
            </w:pPr>
          </w:p>
        </w:tc>
        <w:tc>
          <w:tcPr>
            <w:tcW w:w="1180" w:type="dxa"/>
          </w:tcPr>
          <w:p w:rsidR="003D160B" w:rsidRPr="00A65986" w:rsidRDefault="003D160B" w:rsidP="00A5605D">
            <w:pPr>
              <w:jc w:val="right"/>
              <w:rPr>
                <w:snapToGrid w:val="0"/>
                <w:color w:val="000000"/>
                <w:sz w:val="22"/>
                <w:szCs w:val="22"/>
              </w:rPr>
            </w:pPr>
          </w:p>
        </w:tc>
        <w:tc>
          <w:tcPr>
            <w:tcW w:w="1870" w:type="dxa"/>
            <w:gridSpan w:val="2"/>
          </w:tcPr>
          <w:p w:rsidR="003D160B" w:rsidRPr="00A65986" w:rsidRDefault="003D160B" w:rsidP="00A5605D">
            <w:pPr>
              <w:jc w:val="right"/>
              <w:rPr>
                <w:snapToGrid w:val="0"/>
                <w:color w:val="000000"/>
                <w:sz w:val="22"/>
                <w:szCs w:val="22"/>
              </w:rPr>
            </w:pPr>
          </w:p>
        </w:tc>
      </w:tr>
      <w:tr w:rsidR="003D160B" w:rsidRPr="00A65986" w:rsidTr="00A65986">
        <w:trPr>
          <w:trHeight w:val="250"/>
        </w:trPr>
        <w:tc>
          <w:tcPr>
            <w:tcW w:w="1718" w:type="dxa"/>
          </w:tcPr>
          <w:p w:rsidR="003D160B" w:rsidRPr="00A65986" w:rsidRDefault="003D160B" w:rsidP="00A5605D">
            <w:pPr>
              <w:rPr>
                <w:snapToGrid w:val="0"/>
                <w:color w:val="000000"/>
                <w:sz w:val="22"/>
                <w:szCs w:val="22"/>
              </w:rPr>
            </w:pPr>
            <w:r w:rsidRPr="00A65986">
              <w:rPr>
                <w:snapToGrid w:val="0"/>
                <w:color w:val="000000"/>
                <w:sz w:val="22"/>
                <w:szCs w:val="22"/>
              </w:rPr>
              <w:t>CAZ</w:t>
            </w:r>
          </w:p>
        </w:tc>
        <w:tc>
          <w:tcPr>
            <w:tcW w:w="2338" w:type="dxa"/>
            <w:gridSpan w:val="3"/>
          </w:tcPr>
          <w:p w:rsidR="003D160B" w:rsidRPr="00A65986" w:rsidRDefault="003D160B" w:rsidP="00A5605D">
            <w:pPr>
              <w:rPr>
                <w:snapToGrid w:val="0"/>
                <w:color w:val="000000"/>
                <w:sz w:val="22"/>
                <w:szCs w:val="22"/>
              </w:rPr>
            </w:pPr>
            <w:r w:rsidRPr="00A65986">
              <w:rPr>
                <w:snapToGrid w:val="0"/>
                <w:color w:val="000000"/>
                <w:sz w:val="22"/>
                <w:szCs w:val="22"/>
              </w:rPr>
              <w:t>Vertical toward 270</w:t>
            </w:r>
          </w:p>
        </w:tc>
        <w:tc>
          <w:tcPr>
            <w:tcW w:w="850" w:type="dxa"/>
            <w:gridSpan w:val="2"/>
          </w:tcPr>
          <w:p w:rsidR="003D160B" w:rsidRPr="00A65986" w:rsidRDefault="003D160B" w:rsidP="00A5605D">
            <w:pPr>
              <w:jc w:val="right"/>
              <w:rPr>
                <w:snapToGrid w:val="0"/>
                <w:color w:val="000000"/>
                <w:sz w:val="22"/>
                <w:szCs w:val="22"/>
              </w:rPr>
            </w:pPr>
          </w:p>
        </w:tc>
        <w:tc>
          <w:tcPr>
            <w:tcW w:w="1008" w:type="dxa"/>
          </w:tcPr>
          <w:p w:rsidR="003D160B" w:rsidRPr="00A65986" w:rsidRDefault="003D160B" w:rsidP="00A5605D">
            <w:pPr>
              <w:jc w:val="right"/>
              <w:rPr>
                <w:snapToGrid w:val="0"/>
                <w:color w:val="000000"/>
                <w:sz w:val="22"/>
                <w:szCs w:val="22"/>
              </w:rPr>
            </w:pPr>
          </w:p>
        </w:tc>
        <w:tc>
          <w:tcPr>
            <w:tcW w:w="1056" w:type="dxa"/>
            <w:gridSpan w:val="3"/>
          </w:tcPr>
          <w:p w:rsidR="003D160B" w:rsidRPr="00A65986" w:rsidRDefault="003D160B" w:rsidP="00A5605D">
            <w:pPr>
              <w:jc w:val="right"/>
              <w:rPr>
                <w:snapToGrid w:val="0"/>
                <w:color w:val="000000"/>
                <w:sz w:val="22"/>
                <w:szCs w:val="22"/>
              </w:rPr>
            </w:pPr>
          </w:p>
        </w:tc>
        <w:tc>
          <w:tcPr>
            <w:tcW w:w="1180" w:type="dxa"/>
          </w:tcPr>
          <w:p w:rsidR="003D160B" w:rsidRPr="00A65986" w:rsidRDefault="003D160B" w:rsidP="00A5605D">
            <w:pPr>
              <w:jc w:val="right"/>
              <w:rPr>
                <w:snapToGrid w:val="0"/>
                <w:color w:val="000000"/>
                <w:sz w:val="22"/>
                <w:szCs w:val="22"/>
              </w:rPr>
            </w:pPr>
          </w:p>
        </w:tc>
        <w:tc>
          <w:tcPr>
            <w:tcW w:w="1870" w:type="dxa"/>
            <w:gridSpan w:val="2"/>
          </w:tcPr>
          <w:p w:rsidR="003D160B" w:rsidRPr="00A65986" w:rsidRDefault="003D160B" w:rsidP="00A5605D">
            <w:pPr>
              <w:jc w:val="right"/>
              <w:rPr>
                <w:snapToGrid w:val="0"/>
                <w:color w:val="000000"/>
                <w:sz w:val="22"/>
                <w:szCs w:val="22"/>
              </w:rPr>
            </w:pPr>
          </w:p>
        </w:tc>
      </w:tr>
      <w:tr w:rsidR="003D160B" w:rsidRPr="00A65986" w:rsidTr="00A65986">
        <w:trPr>
          <w:trHeight w:val="250"/>
        </w:trPr>
        <w:tc>
          <w:tcPr>
            <w:tcW w:w="1718" w:type="dxa"/>
          </w:tcPr>
          <w:p w:rsidR="003D160B" w:rsidRPr="00A65986" w:rsidRDefault="003D160B" w:rsidP="00A5605D">
            <w:pPr>
              <w:rPr>
                <w:snapToGrid w:val="0"/>
                <w:color w:val="000000"/>
                <w:sz w:val="22"/>
                <w:szCs w:val="22"/>
              </w:rPr>
            </w:pPr>
            <w:proofErr w:type="spellStart"/>
            <w:r w:rsidRPr="00A65986">
              <w:rPr>
                <w:snapToGrid w:val="0"/>
                <w:color w:val="000000"/>
                <w:sz w:val="22"/>
                <w:szCs w:val="22"/>
              </w:rPr>
              <w:t>na</w:t>
            </w:r>
            <w:proofErr w:type="spellEnd"/>
          </w:p>
        </w:tc>
        <w:tc>
          <w:tcPr>
            <w:tcW w:w="5252" w:type="dxa"/>
            <w:gridSpan w:val="9"/>
          </w:tcPr>
          <w:p w:rsidR="003D160B" w:rsidRPr="00A65986" w:rsidRDefault="003D160B" w:rsidP="00A5605D">
            <w:pPr>
              <w:rPr>
                <w:snapToGrid w:val="0"/>
                <w:color w:val="000000"/>
                <w:sz w:val="22"/>
                <w:szCs w:val="22"/>
              </w:rPr>
            </w:pPr>
            <w:r w:rsidRPr="00A65986">
              <w:rPr>
                <w:snapToGrid w:val="0"/>
                <w:color w:val="000000"/>
                <w:sz w:val="22"/>
                <w:szCs w:val="22"/>
              </w:rPr>
              <w:t>no significant differences in attributes at the 0.05 level</w:t>
            </w:r>
          </w:p>
        </w:tc>
        <w:tc>
          <w:tcPr>
            <w:tcW w:w="1180" w:type="dxa"/>
          </w:tcPr>
          <w:p w:rsidR="003D160B" w:rsidRPr="00A65986" w:rsidRDefault="003D160B" w:rsidP="00A5605D">
            <w:pPr>
              <w:jc w:val="right"/>
              <w:rPr>
                <w:snapToGrid w:val="0"/>
                <w:color w:val="000000"/>
                <w:sz w:val="22"/>
                <w:szCs w:val="22"/>
              </w:rPr>
            </w:pPr>
          </w:p>
        </w:tc>
        <w:tc>
          <w:tcPr>
            <w:tcW w:w="1870" w:type="dxa"/>
            <w:gridSpan w:val="2"/>
          </w:tcPr>
          <w:p w:rsidR="003D160B" w:rsidRPr="00A65986" w:rsidRDefault="003D160B" w:rsidP="00A5605D">
            <w:pPr>
              <w:jc w:val="right"/>
              <w:rPr>
                <w:snapToGrid w:val="0"/>
                <w:color w:val="000000"/>
                <w:sz w:val="22"/>
                <w:szCs w:val="22"/>
              </w:rPr>
            </w:pPr>
          </w:p>
        </w:tc>
      </w:tr>
    </w:tbl>
    <w:p w:rsidR="003D160B" w:rsidRPr="0066567F" w:rsidRDefault="003D160B" w:rsidP="008C11CB">
      <w:pPr>
        <w:spacing w:line="480" w:lineRule="auto"/>
        <w:ind w:left="-57" w:right="183"/>
      </w:pPr>
    </w:p>
    <w:p w:rsidR="00A96E62" w:rsidRPr="0066567F" w:rsidRDefault="00A96E62" w:rsidP="00E5646A">
      <w:pPr>
        <w:spacing w:line="480" w:lineRule="auto"/>
        <w:ind w:left="-57" w:right="183"/>
        <w:rPr>
          <w:i/>
          <w:iCs/>
        </w:rPr>
      </w:pPr>
      <w:r w:rsidRPr="0066567F">
        <w:rPr>
          <w:i/>
          <w:iCs/>
        </w:rPr>
        <w:t xml:space="preserve">Using </w:t>
      </w:r>
      <w:proofErr w:type="gramStart"/>
      <w:r w:rsidRPr="0066567F">
        <w:rPr>
          <w:i/>
          <w:iCs/>
        </w:rPr>
        <w:t>ANOVA  to</w:t>
      </w:r>
      <w:proofErr w:type="gramEnd"/>
      <w:r w:rsidRPr="0066567F">
        <w:rPr>
          <w:i/>
          <w:iCs/>
        </w:rPr>
        <w:t xml:space="preserve"> compare assemblages: Trends from Elephantine</w:t>
      </w:r>
    </w:p>
    <w:p w:rsidR="000A4E40" w:rsidRPr="0066567F" w:rsidRDefault="00A96E62" w:rsidP="000A4E40">
      <w:pPr>
        <w:spacing w:line="480" w:lineRule="auto"/>
        <w:ind w:left="-57" w:right="183"/>
      </w:pPr>
      <w:r w:rsidRPr="0066567F">
        <w:tab/>
      </w:r>
      <w:r w:rsidRPr="0066567F">
        <w:tab/>
        <w:t xml:space="preserve">Before comparing Elephantine to other assemblages used in this study, I discuss differences noted over time in the Elephantine assemblage.  </w:t>
      </w:r>
      <w:proofErr w:type="spellStart"/>
      <w:r w:rsidRPr="0066567F">
        <w:t>Raue</w:t>
      </w:r>
      <w:proofErr w:type="spellEnd"/>
      <w:r w:rsidRPr="0066567F">
        <w:t xml:space="preserve"> (in Kaiser et al. 1999) has suggested that the form of the </w:t>
      </w:r>
      <w:proofErr w:type="spellStart"/>
      <w:r w:rsidRPr="0066567F">
        <w:t>Meidum</w:t>
      </w:r>
      <w:proofErr w:type="spellEnd"/>
      <w:r w:rsidRPr="0066567F">
        <w:t xml:space="preserve"> bowl evolved initially from round squat jars </w:t>
      </w:r>
      <w:r w:rsidR="00167910" w:rsidRPr="0066567F">
        <w:rPr>
          <w:b/>
        </w:rPr>
        <w:t>(</w:t>
      </w:r>
      <w:r w:rsidR="00167910" w:rsidRPr="0066567F">
        <w:t>see Figure 5</w:t>
      </w:r>
      <w:r w:rsidRPr="0066567F">
        <w:t xml:space="preserve">).  Therefore, the first comparison discussed will be differences between some of the earliest examples of </w:t>
      </w:r>
      <w:proofErr w:type="spellStart"/>
      <w:r w:rsidRPr="0066567F">
        <w:t>Meidum</w:t>
      </w:r>
      <w:proofErr w:type="spellEnd"/>
      <w:r w:rsidRPr="0066567F">
        <w:t xml:space="preserve"> bowls at Elephantine dating to the late 3</w:t>
      </w:r>
      <w:r w:rsidRPr="0066567F">
        <w:rPr>
          <w:vertAlign w:val="superscript"/>
        </w:rPr>
        <w:t>rd</w:t>
      </w:r>
      <w:r w:rsidRPr="0066567F">
        <w:t xml:space="preserve"> / early 4</w:t>
      </w:r>
      <w:r w:rsidRPr="0066567F">
        <w:rPr>
          <w:vertAlign w:val="superscript"/>
        </w:rPr>
        <w:t>th</w:t>
      </w:r>
      <w:r w:rsidRPr="0066567F">
        <w:t xml:space="preserve"> Dynasty, as compared to the jars that are hypothesized to have filled the same function of the bowls during the 2</w:t>
      </w:r>
      <w:r w:rsidRPr="0066567F">
        <w:rPr>
          <w:vertAlign w:val="superscript"/>
        </w:rPr>
        <w:t>nd</w:t>
      </w:r>
      <w:r w:rsidRPr="0066567F">
        <w:t xml:space="preserve"> Dynasty.  I will then add material from the 4</w:t>
      </w:r>
      <w:r w:rsidRPr="0066567F">
        <w:rPr>
          <w:vertAlign w:val="superscript"/>
        </w:rPr>
        <w:t>th</w:t>
      </w:r>
      <w:r w:rsidRPr="0066567F">
        <w:t xml:space="preserve"> / 5</w:t>
      </w:r>
      <w:r w:rsidRPr="0066567F">
        <w:rPr>
          <w:vertAlign w:val="superscript"/>
        </w:rPr>
        <w:t>th</w:t>
      </w:r>
      <w:r w:rsidRPr="0066567F">
        <w:t xml:space="preserve"> Dynasty and the 6</w:t>
      </w:r>
      <w:r w:rsidRPr="0066567F">
        <w:rPr>
          <w:vertAlign w:val="superscript"/>
        </w:rPr>
        <w:t>th</w:t>
      </w:r>
      <w:r w:rsidRPr="0066567F">
        <w:t xml:space="preserve"> Dynasty to the </w:t>
      </w:r>
      <w:r w:rsidRPr="0066567F">
        <w:lastRenderedPageBreak/>
        <w:t xml:space="preserve">comparisons.  The following discussion, therefore, pertains to metric comparison of objects of known Dynastic attributions from Elephantine.  </w:t>
      </w:r>
    </w:p>
    <w:p w:rsidR="000A4E40" w:rsidRPr="0066567F" w:rsidRDefault="000A4E40" w:rsidP="00816932">
      <w:pPr>
        <w:spacing w:line="480" w:lineRule="auto"/>
        <w:ind w:left="-57" w:right="183"/>
      </w:pPr>
    </w:p>
    <w:p w:rsidR="00A5605D" w:rsidRPr="0066567F" w:rsidRDefault="000573EF" w:rsidP="00816932">
      <w:pPr>
        <w:spacing w:line="480" w:lineRule="auto"/>
        <w:ind w:left="-57" w:right="183"/>
      </w:pPr>
      <w:r w:rsidRPr="0066567F">
        <w:rPr>
          <w:noProof/>
        </w:rPr>
        <w:drawing>
          <wp:inline distT="0" distB="0" distL="0" distR="0">
            <wp:extent cx="5943600" cy="2031365"/>
            <wp:effectExtent l="19050" t="0" r="0" b="0"/>
            <wp:docPr id="8" name="Picture 7" descr="Figure 5 bowl to jar comparis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 bowl to jar comparison.tif"/>
                    <pic:cNvPicPr/>
                  </pic:nvPicPr>
                  <pic:blipFill>
                    <a:blip r:embed="rId12"/>
                    <a:stretch>
                      <a:fillRect/>
                    </a:stretch>
                  </pic:blipFill>
                  <pic:spPr>
                    <a:xfrm>
                      <a:off x="0" y="0"/>
                      <a:ext cx="5943600" cy="2031365"/>
                    </a:xfrm>
                    <a:prstGeom prst="rect">
                      <a:avLst/>
                    </a:prstGeom>
                  </pic:spPr>
                </pic:pic>
              </a:graphicData>
            </a:graphic>
          </wp:inline>
        </w:drawing>
      </w:r>
    </w:p>
    <w:p w:rsidR="00A5605D" w:rsidRPr="0066567F" w:rsidRDefault="00A5605D" w:rsidP="000A4E40">
      <w:pPr>
        <w:pStyle w:val="NoSpacing"/>
      </w:pPr>
    </w:p>
    <w:p w:rsidR="00E73D1E" w:rsidRPr="0066567F" w:rsidRDefault="00E73D1E" w:rsidP="000A4E40">
      <w:pPr>
        <w:pStyle w:val="NoSpacing"/>
      </w:pPr>
      <w:proofErr w:type="gramStart"/>
      <w:r w:rsidRPr="0066567F">
        <w:rPr>
          <w:b/>
        </w:rPr>
        <w:t>Figure 5.</w:t>
      </w:r>
      <w:proofErr w:type="gramEnd"/>
      <w:r w:rsidRPr="0066567F">
        <w:rPr>
          <w:b/>
        </w:rPr>
        <w:t xml:space="preserve"> </w:t>
      </w:r>
      <w:r w:rsidRPr="0066567F">
        <w:t xml:space="preserve"> The photo on the left is a 2</w:t>
      </w:r>
      <w:r w:rsidRPr="0066567F">
        <w:rPr>
          <w:vertAlign w:val="superscript"/>
        </w:rPr>
        <w:t>nd</w:t>
      </w:r>
      <w:r w:rsidRPr="0066567F">
        <w:t xml:space="preserve"> Dynasty jar from Elephantine.  Drawings to the right are examples of similar vessels from el </w:t>
      </w:r>
      <w:proofErr w:type="spellStart"/>
      <w:r w:rsidRPr="0066567F">
        <w:t>Kab</w:t>
      </w:r>
      <w:proofErr w:type="spellEnd"/>
      <w:r w:rsidRPr="0066567F">
        <w:t xml:space="preserve"> (el </w:t>
      </w:r>
      <w:proofErr w:type="spellStart"/>
      <w:r w:rsidRPr="0066567F">
        <w:t>Kab</w:t>
      </w:r>
      <w:proofErr w:type="spellEnd"/>
      <w:r w:rsidRPr="0066567F">
        <w:t xml:space="preserve"> drawings are after </w:t>
      </w:r>
      <w:proofErr w:type="spellStart"/>
      <w:r w:rsidRPr="0066567F">
        <w:t>Hendrickx</w:t>
      </w:r>
      <w:proofErr w:type="spellEnd"/>
      <w:r w:rsidRPr="0066567F">
        <w:t xml:space="preserve"> </w:t>
      </w:r>
      <w:proofErr w:type="gramStart"/>
      <w:r w:rsidRPr="0066567F">
        <w:t>et</w:t>
      </w:r>
      <w:proofErr w:type="gramEnd"/>
      <w:r w:rsidRPr="0066567F">
        <w:t xml:space="preserve"> a. 2002, Figure 2). </w:t>
      </w:r>
    </w:p>
    <w:p w:rsidR="00E73D1E" w:rsidRPr="0066567F" w:rsidRDefault="00E73D1E" w:rsidP="00816932">
      <w:pPr>
        <w:spacing w:line="480" w:lineRule="auto"/>
        <w:ind w:left="-57" w:right="183"/>
      </w:pPr>
    </w:p>
    <w:p w:rsidR="00A96E62" w:rsidRPr="0066567F" w:rsidRDefault="009A795B" w:rsidP="00816932">
      <w:pPr>
        <w:spacing w:line="480" w:lineRule="auto"/>
        <w:ind w:left="-57" w:right="183"/>
      </w:pPr>
      <w:r>
        <w:tab/>
      </w:r>
      <w:r>
        <w:tab/>
        <w:t>Table 2</w:t>
      </w:r>
      <w:r w:rsidR="00A96E62" w:rsidRPr="0066567F">
        <w:t xml:space="preserve"> summarizes the results of the comparisons between vessels from the specified location and Dynasty.  For example, refer to this table to understand the quantified description of</w:t>
      </w:r>
      <w:r w:rsidR="00A96E62" w:rsidRPr="0066567F">
        <w:rPr>
          <w:b/>
        </w:rPr>
        <w:t xml:space="preserve"> </w:t>
      </w:r>
      <w:r w:rsidR="00A96E62" w:rsidRPr="0066567F">
        <w:t>the differences between 2</w:t>
      </w:r>
      <w:r w:rsidR="00A96E62" w:rsidRPr="0066567F">
        <w:rPr>
          <w:vertAlign w:val="superscript"/>
        </w:rPr>
        <w:t>nd</w:t>
      </w:r>
      <w:r w:rsidR="00A96E62" w:rsidRPr="0066567F">
        <w:t xml:space="preserve"> Dynasty jars and 3</w:t>
      </w:r>
      <w:r w:rsidR="00A96E62" w:rsidRPr="0066567F">
        <w:rPr>
          <w:vertAlign w:val="superscript"/>
        </w:rPr>
        <w:t>rd</w:t>
      </w:r>
      <w:r w:rsidR="00A96E62" w:rsidRPr="0066567F">
        <w:t xml:space="preserve"> and 4</w:t>
      </w:r>
      <w:r w:rsidR="00A96E62" w:rsidRPr="0066567F">
        <w:rPr>
          <w:vertAlign w:val="superscript"/>
        </w:rPr>
        <w:t>th</w:t>
      </w:r>
      <w:r w:rsidR="00A96E62" w:rsidRPr="0066567F">
        <w:t xml:space="preserve"> Dynasty bowls from Elephantine.  Only one attribute (diameter) indicates a statistically significant difference from the 2</w:t>
      </w:r>
      <w:r w:rsidR="00A96E62" w:rsidRPr="0066567F">
        <w:rPr>
          <w:vertAlign w:val="superscript"/>
        </w:rPr>
        <w:t>nd</w:t>
      </w:r>
      <w:r w:rsidR="00A96E62" w:rsidRPr="0066567F">
        <w:t xml:space="preserve"> to the 3</w:t>
      </w:r>
      <w:r w:rsidR="00A96E62" w:rsidRPr="0066567F">
        <w:rPr>
          <w:vertAlign w:val="superscript"/>
        </w:rPr>
        <w:t>rd</w:t>
      </w:r>
      <w:r w:rsidR="00A96E62" w:rsidRPr="0066567F">
        <w:t xml:space="preserve"> / 4</w:t>
      </w:r>
      <w:r w:rsidR="00A96E62" w:rsidRPr="0066567F">
        <w:rPr>
          <w:vertAlign w:val="superscript"/>
        </w:rPr>
        <w:t>th</w:t>
      </w:r>
      <w:r w:rsidR="00A96E62" w:rsidRPr="0066567F">
        <w:t xml:space="preserve"> Dynasty.  All other attributes show no statistical difference (meaning that the frequency of measurements for both sets of objects could have been drawn from the same population). This initial comparison entails determining whether the differences in attributes assumed to be differing only in terms of time across the 2</w:t>
      </w:r>
      <w:r w:rsidR="00A96E62" w:rsidRPr="0066567F">
        <w:rPr>
          <w:vertAlign w:val="superscript"/>
        </w:rPr>
        <w:t>nd</w:t>
      </w:r>
      <w:r w:rsidR="00A96E62" w:rsidRPr="0066567F">
        <w:t xml:space="preserve"> and into the 3</w:t>
      </w:r>
      <w:r w:rsidR="00A96E62" w:rsidRPr="0066567F">
        <w:rPr>
          <w:vertAlign w:val="superscript"/>
        </w:rPr>
        <w:t>rd</w:t>
      </w:r>
      <w:r w:rsidR="00A96E62" w:rsidRPr="0066567F">
        <w:t xml:space="preserve"> and 4</w:t>
      </w:r>
      <w:r w:rsidR="00A96E62" w:rsidRPr="0066567F">
        <w:rPr>
          <w:vertAlign w:val="superscript"/>
        </w:rPr>
        <w:t>th</w:t>
      </w:r>
      <w:r w:rsidR="00A96E62" w:rsidRPr="0066567F">
        <w:t xml:space="preserve"> Dynasties are what would be expected given that the primary difference between these assemblages is the difference between bowls and jars.   </w:t>
      </w:r>
    </w:p>
    <w:p w:rsidR="00A96E62" w:rsidRPr="0066567F" w:rsidRDefault="00A96E62" w:rsidP="00DF3AC2">
      <w:pPr>
        <w:spacing w:line="480" w:lineRule="auto"/>
        <w:ind w:left="-57" w:right="183"/>
      </w:pPr>
      <w:r w:rsidRPr="0066567F">
        <w:lastRenderedPageBreak/>
        <w:tab/>
      </w:r>
      <w:r w:rsidRPr="0066567F">
        <w:tab/>
        <w:t>The difference between what is considered a “bowl” and what is considered a “jar” is indicated by a “jar” a) being necked and b) having a height greater than its maximum diameter.  In contrast, a “bowl” does not have a neck (but can have a restricted orifice) and has a height “varying from one-third the maximum diameter of the vessel to equal the diameter</w:t>
      </w:r>
      <w:r w:rsidRPr="0066567F">
        <w:rPr>
          <w:b/>
        </w:rPr>
        <w:t xml:space="preserve">” </w:t>
      </w:r>
      <w:r w:rsidRPr="0066567F">
        <w:t>(Rice 1987:216).</w:t>
      </w:r>
      <w:r w:rsidRPr="0066567F">
        <w:rPr>
          <w:b/>
        </w:rPr>
        <w:t xml:space="preserve"> </w:t>
      </w:r>
      <w:r w:rsidRPr="0066567F">
        <w:t xml:space="preserve"> In more general terms, the real difference between a bowl and a jar is somewhat arbitrary (Rice 1987:216-217).  In the case of the objects discussed here, the primary difference is depth (generally indicated by a relatively vertical measurement for Azimuth C).  </w:t>
      </w:r>
    </w:p>
    <w:p w:rsidR="008C242F" w:rsidRPr="0066567F" w:rsidRDefault="00A96E62" w:rsidP="000573EF">
      <w:pPr>
        <w:spacing w:line="480" w:lineRule="auto"/>
        <w:ind w:left="-57" w:right="183"/>
      </w:pPr>
      <w:r w:rsidRPr="0066567F">
        <w:tab/>
      </w:r>
      <w:r w:rsidRPr="0066567F">
        <w:tab/>
        <w:t xml:space="preserve">A shift from a jar form to a bowl form entails some expectations as to the direction of morphological change that will be exhibited.  According to the definition outlined above, diameter of the opening should increase and depth (as indicated by a more horizontal azimuth C) should decrease.  There is no necessary change in the overall shape of the bevel.  The observed changes in vessel measurements over time are consistent with </w:t>
      </w:r>
      <w:proofErr w:type="spellStart"/>
      <w:r w:rsidRPr="0066567F">
        <w:t>Raue’s</w:t>
      </w:r>
      <w:proofErr w:type="spellEnd"/>
      <w:r w:rsidRPr="0066567F">
        <w:t xml:space="preserve"> hypothesis that 3</w:t>
      </w:r>
      <w:r w:rsidRPr="0066567F">
        <w:rPr>
          <w:vertAlign w:val="superscript"/>
        </w:rPr>
        <w:t>rd</w:t>
      </w:r>
      <w:r w:rsidRPr="0066567F">
        <w:t xml:space="preserve"> / 4</w:t>
      </w:r>
      <w:r w:rsidRPr="0066567F">
        <w:rPr>
          <w:vertAlign w:val="superscript"/>
        </w:rPr>
        <w:t>th</w:t>
      </w:r>
      <w:r w:rsidRPr="0066567F">
        <w:t xml:space="preserve"> Dynasty bowls are “descended from” 2</w:t>
      </w:r>
      <w:r w:rsidRPr="0066567F">
        <w:rPr>
          <w:vertAlign w:val="superscript"/>
        </w:rPr>
        <w:t>nd</w:t>
      </w:r>
      <w:r w:rsidRPr="0066567F">
        <w:t xml:space="preserve"> Dynasty jars.  Diameter does increase over time.  Depth, however, does not, at least initially (although bowls do become shallower during later Dynasties, see discussion below).  </w:t>
      </w:r>
    </w:p>
    <w:p w:rsidR="00A96E62" w:rsidRPr="0066567F" w:rsidRDefault="00A96E62" w:rsidP="00816932">
      <w:pPr>
        <w:spacing w:line="480" w:lineRule="auto"/>
        <w:ind w:left="-57" w:right="183"/>
      </w:pPr>
      <w:r w:rsidRPr="0066567F">
        <w:tab/>
      </w:r>
      <w:r w:rsidRPr="0066567F">
        <w:tab/>
        <w:t>The shift from the 3</w:t>
      </w:r>
      <w:r w:rsidRPr="0066567F">
        <w:rPr>
          <w:vertAlign w:val="superscript"/>
        </w:rPr>
        <w:t>rd</w:t>
      </w:r>
      <w:r w:rsidRPr="0066567F">
        <w:t xml:space="preserve"> / 4</w:t>
      </w:r>
      <w:r w:rsidRPr="0066567F">
        <w:rPr>
          <w:vertAlign w:val="superscript"/>
        </w:rPr>
        <w:t>th</w:t>
      </w:r>
      <w:r w:rsidRPr="0066567F">
        <w:t xml:space="preserve"> Dynasties to the 6</w:t>
      </w:r>
      <w:r w:rsidRPr="0066567F">
        <w:rPr>
          <w:vertAlign w:val="superscript"/>
        </w:rPr>
        <w:t>th</w:t>
      </w:r>
      <w:r w:rsidRPr="0066567F">
        <w:t xml:space="preserve"> Dynasty involves more morphological changes. From the 2</w:t>
      </w:r>
      <w:r w:rsidRPr="0066567F">
        <w:rPr>
          <w:vertAlign w:val="superscript"/>
        </w:rPr>
        <w:t>nd</w:t>
      </w:r>
      <w:r w:rsidRPr="0066567F">
        <w:t xml:space="preserve"> Dynasty to the 3</w:t>
      </w:r>
      <w:r w:rsidRPr="0066567F">
        <w:rPr>
          <w:vertAlign w:val="superscript"/>
        </w:rPr>
        <w:t>rd</w:t>
      </w:r>
      <w:r w:rsidRPr="0066567F">
        <w:t xml:space="preserve"> and 4</w:t>
      </w:r>
      <w:r w:rsidRPr="0066567F">
        <w:rPr>
          <w:vertAlign w:val="superscript"/>
        </w:rPr>
        <w:t>th</w:t>
      </w:r>
      <w:r w:rsidRPr="0066567F">
        <w:t xml:space="preserve"> Dynasty, the only significant difference between the earlier “jars” and the later “bowls” is in diameter.  In contrast, from the 4</w:t>
      </w:r>
      <w:r w:rsidRPr="0066567F">
        <w:rPr>
          <w:vertAlign w:val="superscript"/>
        </w:rPr>
        <w:t>th</w:t>
      </w:r>
      <w:r w:rsidRPr="0066567F">
        <w:t xml:space="preserve"> to the 6</w:t>
      </w:r>
      <w:r w:rsidRPr="0066567F">
        <w:rPr>
          <w:vertAlign w:val="superscript"/>
        </w:rPr>
        <w:t>th</w:t>
      </w:r>
      <w:r w:rsidRPr="0066567F">
        <w:t xml:space="preserve"> Dynasty, all attributes show significant differences from the 2</w:t>
      </w:r>
      <w:r w:rsidRPr="0066567F">
        <w:rPr>
          <w:vertAlign w:val="superscript"/>
        </w:rPr>
        <w:t>nd</w:t>
      </w:r>
      <w:r w:rsidRPr="0066567F">
        <w:t xml:space="preserve"> Dynasty assemblage. </w:t>
      </w:r>
    </w:p>
    <w:p w:rsidR="00A96E62" w:rsidRPr="0066567F" w:rsidRDefault="00A96E62" w:rsidP="00816932">
      <w:pPr>
        <w:spacing w:line="480" w:lineRule="auto"/>
        <w:ind w:left="-57" w:right="183"/>
      </w:pPr>
      <w:r w:rsidRPr="0066567F">
        <w:tab/>
      </w:r>
      <w:r w:rsidRPr="0066567F">
        <w:tab/>
        <w:t xml:space="preserve">The overall size of the carination, as indicated by the measurement of Length A + Length B, declines over time.  Azimuth B tends more toward the vertical (180°).  Azimuth C tends more toward the horizontal (270°) and diameter increases, indicating a shallower, more wide mouthed bowl.  </w:t>
      </w:r>
    </w:p>
    <w:p w:rsidR="000A4E40" w:rsidRPr="0066567F" w:rsidRDefault="000A4E40" w:rsidP="000A4E40">
      <w:pPr>
        <w:spacing w:line="480" w:lineRule="auto"/>
        <w:ind w:right="183"/>
        <w:rPr>
          <w:i/>
        </w:rPr>
      </w:pPr>
    </w:p>
    <w:p w:rsidR="00A96E62" w:rsidRPr="0066567F" w:rsidRDefault="00A96E62" w:rsidP="00873731">
      <w:pPr>
        <w:spacing w:line="480" w:lineRule="auto"/>
        <w:ind w:left="-57" w:right="183"/>
        <w:rPr>
          <w:i/>
          <w:iCs/>
        </w:rPr>
      </w:pPr>
      <w:r w:rsidRPr="0066567F">
        <w:rPr>
          <w:i/>
        </w:rPr>
        <w:t xml:space="preserve">Using ANOVA to compare assemblage means: </w:t>
      </w:r>
      <w:r w:rsidRPr="0066567F">
        <w:rPr>
          <w:i/>
          <w:iCs/>
        </w:rPr>
        <w:t>4</w:t>
      </w:r>
      <w:r w:rsidRPr="0066567F">
        <w:rPr>
          <w:i/>
          <w:iCs/>
          <w:vertAlign w:val="superscript"/>
        </w:rPr>
        <w:t>th</w:t>
      </w:r>
      <w:r w:rsidRPr="0066567F">
        <w:rPr>
          <w:i/>
          <w:iCs/>
        </w:rPr>
        <w:t xml:space="preserve"> Dynasty material from Giza and 3</w:t>
      </w:r>
      <w:r w:rsidRPr="0066567F">
        <w:rPr>
          <w:i/>
          <w:iCs/>
          <w:vertAlign w:val="superscript"/>
        </w:rPr>
        <w:t>rd</w:t>
      </w:r>
      <w:r w:rsidRPr="0066567F">
        <w:rPr>
          <w:i/>
          <w:iCs/>
        </w:rPr>
        <w:t xml:space="preserve"> / 4</w:t>
      </w:r>
      <w:r w:rsidRPr="0066567F">
        <w:rPr>
          <w:i/>
          <w:iCs/>
          <w:vertAlign w:val="superscript"/>
        </w:rPr>
        <w:t>th</w:t>
      </w:r>
      <w:r w:rsidRPr="0066567F">
        <w:rPr>
          <w:i/>
          <w:iCs/>
        </w:rPr>
        <w:t xml:space="preserve"> Dynasties at Elephantine</w:t>
      </w:r>
    </w:p>
    <w:p w:rsidR="00A96E62" w:rsidRPr="0066567F" w:rsidRDefault="00A96E62" w:rsidP="00873731">
      <w:pPr>
        <w:spacing w:line="480" w:lineRule="auto"/>
        <w:ind w:left="-57" w:right="183"/>
      </w:pPr>
      <w:r w:rsidRPr="0066567F">
        <w:tab/>
      </w:r>
      <w:r w:rsidRPr="0066567F">
        <w:tab/>
        <w:t>The Giza material is slightly later then the Elephantine material to which it’s compared, representing the later 4</w:t>
      </w:r>
      <w:r w:rsidRPr="0066567F">
        <w:rPr>
          <w:vertAlign w:val="superscript"/>
        </w:rPr>
        <w:t>th</w:t>
      </w:r>
      <w:r w:rsidRPr="0066567F">
        <w:t xml:space="preserve"> Dynasty, whereas the Elephantine material represents the late 3</w:t>
      </w:r>
      <w:r w:rsidRPr="0066567F">
        <w:rPr>
          <w:vertAlign w:val="superscript"/>
        </w:rPr>
        <w:t>rd</w:t>
      </w:r>
      <w:r w:rsidRPr="0066567F">
        <w:t xml:space="preserve"> and early 4</w:t>
      </w:r>
      <w:r w:rsidRPr="0066567F">
        <w:rPr>
          <w:vertAlign w:val="superscript"/>
        </w:rPr>
        <w:t>th</w:t>
      </w:r>
      <w:r w:rsidRPr="0066567F">
        <w:t xml:space="preserve"> Dynasty.  Attributes exhibiting significant differences are overall carination size (Length A + Length B), Azimuth B and diameter.  Azimuth C doesn’t exhibit a significant difference across the assemblages.</w:t>
      </w:r>
    </w:p>
    <w:p w:rsidR="008C242F" w:rsidRPr="0066567F" w:rsidRDefault="00A96E62" w:rsidP="000A4E40">
      <w:pPr>
        <w:spacing w:line="480" w:lineRule="auto"/>
        <w:ind w:left="-57" w:right="183"/>
      </w:pPr>
      <w:r w:rsidRPr="0066567F">
        <w:tab/>
      </w:r>
      <w:r w:rsidRPr="0066567F">
        <w:tab/>
        <w:t>The Giza bowls, therefore are somewhat shallower and somewhat wider than the early Elephantine bowls, but not to the degree exhibited by the 6</w:t>
      </w:r>
      <w:r w:rsidRPr="0066567F">
        <w:rPr>
          <w:vertAlign w:val="superscript"/>
        </w:rPr>
        <w:t>th</w:t>
      </w:r>
      <w:r w:rsidRPr="0066567F">
        <w:t xml:space="preserve"> Dynasty Elephantine material The Azimuth B tends more toward the vertical in the Giza assemblage. </w:t>
      </w:r>
    </w:p>
    <w:p w:rsidR="00A96E62" w:rsidRPr="0066567F" w:rsidRDefault="00A96E62" w:rsidP="00873731">
      <w:pPr>
        <w:spacing w:line="480" w:lineRule="auto"/>
        <w:ind w:left="-57" w:right="183"/>
        <w:rPr>
          <w:i/>
          <w:iCs/>
        </w:rPr>
      </w:pPr>
      <w:r w:rsidRPr="0066567F">
        <w:rPr>
          <w:i/>
        </w:rPr>
        <w:t xml:space="preserve">Using ANOVA to compare assemblage means: </w:t>
      </w:r>
      <w:r w:rsidRPr="0066567F">
        <w:rPr>
          <w:i/>
          <w:iCs/>
        </w:rPr>
        <w:t>Comparison of Elephantine 6</w:t>
      </w:r>
      <w:r w:rsidRPr="0066567F">
        <w:rPr>
          <w:i/>
          <w:iCs/>
          <w:vertAlign w:val="superscript"/>
        </w:rPr>
        <w:t>th</w:t>
      </w:r>
      <w:r w:rsidRPr="0066567F">
        <w:rPr>
          <w:i/>
          <w:iCs/>
        </w:rPr>
        <w:t xml:space="preserve"> to other 6</w:t>
      </w:r>
      <w:r w:rsidRPr="0066567F">
        <w:rPr>
          <w:i/>
          <w:iCs/>
          <w:vertAlign w:val="superscript"/>
        </w:rPr>
        <w:t>th</w:t>
      </w:r>
      <w:r w:rsidRPr="0066567F">
        <w:rPr>
          <w:i/>
          <w:iCs/>
        </w:rPr>
        <w:t xml:space="preserve"> Dynasty Assemblages</w:t>
      </w:r>
    </w:p>
    <w:p w:rsidR="00A96E62" w:rsidRPr="0066567F" w:rsidRDefault="008C242F" w:rsidP="008C242F">
      <w:pPr>
        <w:spacing w:line="480" w:lineRule="auto"/>
        <w:ind w:right="183"/>
      </w:pPr>
      <w:r w:rsidRPr="0066567F">
        <w:tab/>
        <w:t>Despite being from similar time periods, t</w:t>
      </w:r>
      <w:r w:rsidR="00A96E62" w:rsidRPr="0066567F">
        <w:t>he 6</w:t>
      </w:r>
      <w:r w:rsidR="00A96E62" w:rsidRPr="0066567F">
        <w:rPr>
          <w:vertAlign w:val="superscript"/>
        </w:rPr>
        <w:t>th</w:t>
      </w:r>
      <w:r w:rsidR="00A96E62" w:rsidRPr="0066567F">
        <w:t xml:space="preserve"> Dynasty material from Elephantine is not significantly different from the </w:t>
      </w:r>
      <w:proofErr w:type="spellStart"/>
      <w:r w:rsidR="00A96E62" w:rsidRPr="0066567F">
        <w:t>Teti</w:t>
      </w:r>
      <w:proofErr w:type="spellEnd"/>
      <w:r w:rsidR="00A96E62" w:rsidRPr="0066567F">
        <w:t xml:space="preserve"> assemblage</w:t>
      </w:r>
      <w:r w:rsidRPr="0066567F">
        <w:t xml:space="preserve">, while </w:t>
      </w:r>
      <w:r w:rsidR="006F41FA" w:rsidRPr="0066567F">
        <w:t xml:space="preserve">the </w:t>
      </w:r>
      <w:proofErr w:type="spellStart"/>
      <w:r w:rsidR="006F41FA" w:rsidRPr="0066567F">
        <w:t>Kom</w:t>
      </w:r>
      <w:proofErr w:type="spellEnd"/>
      <w:r w:rsidR="006F41FA" w:rsidRPr="0066567F">
        <w:t xml:space="preserve"> el-</w:t>
      </w:r>
      <w:proofErr w:type="spellStart"/>
      <w:r w:rsidR="006F41FA" w:rsidRPr="0066567F">
        <w:t>Hisn</w:t>
      </w:r>
      <w:proofErr w:type="spellEnd"/>
      <w:r w:rsidR="006F41FA" w:rsidRPr="0066567F">
        <w:t xml:space="preserve"> material exhibits a significant difference in Azimuth C</w:t>
      </w:r>
      <w:r w:rsidR="00A96E62" w:rsidRPr="0066567F">
        <w:t xml:space="preserve">.  Both assemblages suggest that carination morphology is approximately the same.  This tendency is mirrored by the Elephantine assemblage.  Overall carination size is approximately the same in both assemblages.  </w:t>
      </w:r>
    </w:p>
    <w:p w:rsidR="005E4B1D" w:rsidRPr="0066567F" w:rsidRDefault="00A96E62" w:rsidP="000A4E40">
      <w:pPr>
        <w:spacing w:line="480" w:lineRule="auto"/>
        <w:ind w:left="-57" w:right="183"/>
      </w:pPr>
      <w:r w:rsidRPr="0066567F">
        <w:tab/>
      </w:r>
      <w:r w:rsidRPr="0066567F">
        <w:tab/>
        <w:t xml:space="preserve">Vessel curvature differs across the two assemblages.  Azimuth C shows a great deal of significant difference across assemblages, with the bowls from </w:t>
      </w:r>
      <w:proofErr w:type="spellStart"/>
      <w:r w:rsidRPr="0066567F">
        <w:t>Kom</w:t>
      </w:r>
      <w:proofErr w:type="spellEnd"/>
      <w:r w:rsidRPr="0066567F">
        <w:t xml:space="preserve"> el-</w:t>
      </w:r>
      <w:proofErr w:type="spellStart"/>
      <w:r w:rsidRPr="0066567F">
        <w:t>Hisn</w:t>
      </w:r>
      <w:proofErr w:type="spellEnd"/>
      <w:r w:rsidRPr="0066567F">
        <w:t xml:space="preserve"> generally featuring deeper bowls.  Diameter shows no significant</w:t>
      </w:r>
      <w:r w:rsidR="006F41FA" w:rsidRPr="0066567F">
        <w:t xml:space="preserve"> difference across assemblages. </w:t>
      </w:r>
      <w:r w:rsidRPr="0066567F">
        <w:t xml:space="preserve"> </w:t>
      </w:r>
      <w:r w:rsidRPr="0066567F">
        <w:tab/>
      </w:r>
    </w:p>
    <w:p w:rsidR="000A4E40" w:rsidRPr="0066567F" w:rsidRDefault="000A4E40" w:rsidP="000A4E40">
      <w:pPr>
        <w:spacing w:line="480" w:lineRule="auto"/>
        <w:ind w:left="-57" w:right="183"/>
      </w:pPr>
    </w:p>
    <w:p w:rsidR="002B2973" w:rsidRDefault="002B2973" w:rsidP="0041298D">
      <w:pPr>
        <w:spacing w:line="480" w:lineRule="auto"/>
        <w:ind w:right="183"/>
        <w:rPr>
          <w:b/>
          <w:bCs/>
        </w:rPr>
      </w:pPr>
    </w:p>
    <w:p w:rsidR="00A96E62" w:rsidRPr="002B2973" w:rsidRDefault="00A96E62" w:rsidP="0041298D">
      <w:pPr>
        <w:spacing w:line="480" w:lineRule="auto"/>
        <w:ind w:right="183"/>
        <w:rPr>
          <w:bCs/>
          <w:i/>
        </w:rPr>
      </w:pPr>
      <w:proofErr w:type="spellStart"/>
      <w:r w:rsidRPr="002B2973">
        <w:rPr>
          <w:bCs/>
          <w:i/>
        </w:rPr>
        <w:lastRenderedPageBreak/>
        <w:t>Discriminant</w:t>
      </w:r>
      <w:proofErr w:type="spellEnd"/>
      <w:r w:rsidRPr="002B2973">
        <w:rPr>
          <w:bCs/>
          <w:i/>
        </w:rPr>
        <w:t xml:space="preserve"> Function Comparisons</w:t>
      </w:r>
    </w:p>
    <w:p w:rsidR="006F41FA" w:rsidRPr="0066567F" w:rsidRDefault="00A96E62" w:rsidP="0041298D">
      <w:pPr>
        <w:spacing w:line="480" w:lineRule="auto"/>
        <w:ind w:right="183"/>
      </w:pPr>
      <w:r w:rsidRPr="0066567F">
        <w:tab/>
        <w:t xml:space="preserve">Assemblages from Elephantine are first compared to each other to determine how variation sorted primarily by time behaves in terms of differences between attribute measurements.  Other assemblages are then compared to the Elephantine to determine whether the role of space in sorting variation changes over time.  </w:t>
      </w:r>
    </w:p>
    <w:p w:rsidR="006F41FA" w:rsidRPr="0066567F" w:rsidRDefault="00817AEE" w:rsidP="0041298D">
      <w:pPr>
        <w:spacing w:line="480" w:lineRule="auto"/>
        <w:ind w:right="183"/>
      </w:pPr>
      <w:r>
        <w:tab/>
        <w:t>Table 3</w:t>
      </w:r>
      <w:r w:rsidR="00995802" w:rsidRPr="0066567F">
        <w:t xml:space="preserve"> summarizes the results of the DFA </w:t>
      </w:r>
      <w:r w:rsidR="00542760" w:rsidRPr="0066567F">
        <w:t xml:space="preserve">analysis </w:t>
      </w:r>
      <w:r w:rsidR="00995802" w:rsidRPr="0066567F">
        <w:t xml:space="preserve">for the Elephantine only comparisons, the Elephantine to Giza comparison, and the Elephantine to </w:t>
      </w:r>
      <w:proofErr w:type="spellStart"/>
      <w:r w:rsidR="00995802" w:rsidRPr="0066567F">
        <w:t>Teti</w:t>
      </w:r>
      <w:proofErr w:type="spellEnd"/>
      <w:r w:rsidR="00995802" w:rsidRPr="0066567F">
        <w:t xml:space="preserve"> comparison. </w:t>
      </w:r>
      <w:r w:rsidR="00542760" w:rsidRPr="0066567F">
        <w:t xml:space="preserve">Table 3 summarizes the results of the DFA analysis for the </w:t>
      </w:r>
      <w:proofErr w:type="spellStart"/>
      <w:r w:rsidR="00542760" w:rsidRPr="0066567F">
        <w:t>Kom</w:t>
      </w:r>
      <w:proofErr w:type="spellEnd"/>
      <w:r w:rsidR="00542760" w:rsidRPr="0066567F">
        <w:t xml:space="preserve"> el-</w:t>
      </w:r>
      <w:proofErr w:type="spellStart"/>
      <w:r w:rsidR="00542760" w:rsidRPr="0066567F">
        <w:t>Hisn</w:t>
      </w:r>
      <w:proofErr w:type="spellEnd"/>
      <w:r w:rsidR="00542760" w:rsidRPr="0066567F">
        <w:t xml:space="preserve"> </w:t>
      </w:r>
      <w:r w:rsidR="00601A9F" w:rsidRPr="0066567F">
        <w:t xml:space="preserve">comparison.  </w:t>
      </w:r>
    </w:p>
    <w:p w:rsidR="00A96E62" w:rsidRPr="0066567F" w:rsidRDefault="00A96E62" w:rsidP="0041298D">
      <w:pPr>
        <w:spacing w:line="480" w:lineRule="auto"/>
        <w:ind w:right="183"/>
        <w:rPr>
          <w:i/>
          <w:iCs/>
        </w:rPr>
      </w:pPr>
      <w:r w:rsidRPr="0066567F">
        <w:rPr>
          <w:i/>
          <w:iCs/>
        </w:rPr>
        <w:t>Elephantine 2</w:t>
      </w:r>
      <w:r w:rsidRPr="0066567F">
        <w:rPr>
          <w:i/>
          <w:iCs/>
          <w:vertAlign w:val="superscript"/>
        </w:rPr>
        <w:t>nd</w:t>
      </w:r>
      <w:r w:rsidRPr="0066567F">
        <w:rPr>
          <w:i/>
          <w:iCs/>
        </w:rPr>
        <w:t xml:space="preserve"> to 6</w:t>
      </w:r>
      <w:r w:rsidRPr="0066567F">
        <w:rPr>
          <w:i/>
          <w:iCs/>
          <w:vertAlign w:val="superscript"/>
        </w:rPr>
        <w:t>th</w:t>
      </w:r>
      <w:r w:rsidRPr="0066567F">
        <w:rPr>
          <w:i/>
          <w:iCs/>
        </w:rPr>
        <w:t xml:space="preserve"> Dynasties</w:t>
      </w:r>
    </w:p>
    <w:p w:rsidR="00C97F17" w:rsidRPr="0066567F" w:rsidRDefault="00A65986" w:rsidP="00C97F17">
      <w:pPr>
        <w:spacing w:line="480" w:lineRule="auto"/>
        <w:ind w:right="183"/>
      </w:pPr>
      <w:r>
        <w:tab/>
        <w:t>As can be seen in Table 3</w:t>
      </w:r>
      <w:r w:rsidR="00601A9F" w:rsidRPr="0066567F">
        <w:rPr>
          <w:b/>
        </w:rPr>
        <w:t xml:space="preserve">, </w:t>
      </w:r>
      <w:proofErr w:type="spellStart"/>
      <w:r w:rsidR="00601A9F" w:rsidRPr="0066567F">
        <w:t>eigenvalue</w:t>
      </w:r>
      <w:proofErr w:type="spellEnd"/>
      <w:r w:rsidR="00601A9F" w:rsidRPr="0066567F">
        <w:t xml:space="preserve"> 1 accounts for 91</w:t>
      </w:r>
      <w:r w:rsidR="000C1B41" w:rsidRPr="0066567F">
        <w:t>% of the o</w:t>
      </w:r>
      <w:r w:rsidR="00D61E08" w:rsidRPr="0066567F">
        <w:t>verall variance</w:t>
      </w:r>
      <w:r w:rsidR="00A96E62" w:rsidRPr="0066567F">
        <w:rPr>
          <w:b/>
        </w:rPr>
        <w:t xml:space="preserve">.  </w:t>
      </w:r>
      <w:r w:rsidR="00A96E62" w:rsidRPr="0066567F">
        <w:t>Diameter</w:t>
      </w:r>
      <w:r w:rsidR="000C1B41" w:rsidRPr="0066567F">
        <w:t xml:space="preserve"> is highly correlated with </w:t>
      </w:r>
      <w:proofErr w:type="spellStart"/>
      <w:r w:rsidR="00CA65BF" w:rsidRPr="0066567F">
        <w:t>discriminant</w:t>
      </w:r>
      <w:proofErr w:type="spellEnd"/>
      <w:r w:rsidR="00CA65BF" w:rsidRPr="0066567F">
        <w:t xml:space="preserve"> function</w:t>
      </w:r>
      <w:r w:rsidR="000C1B41" w:rsidRPr="0066567F">
        <w:t xml:space="preserve"> 1 (0.897)</w:t>
      </w:r>
      <w:r w:rsidR="00A96E62" w:rsidRPr="0066567F">
        <w:t>.</w:t>
      </w:r>
      <w:r w:rsidR="00A96E62" w:rsidRPr="0066567F">
        <w:rPr>
          <w:b/>
        </w:rPr>
        <w:t xml:space="preserve">  </w:t>
      </w:r>
      <w:r w:rsidR="00A96E62" w:rsidRPr="0066567F">
        <w:t xml:space="preserve">This is what one might expect given the model of change presented by </w:t>
      </w:r>
      <w:proofErr w:type="spellStart"/>
      <w:r w:rsidR="00A96E62" w:rsidRPr="0066567F">
        <w:t>Raue</w:t>
      </w:r>
      <w:proofErr w:type="spellEnd"/>
      <w:r w:rsidR="00A96E62" w:rsidRPr="0066567F">
        <w:t xml:space="preserve"> in 1999.   </w:t>
      </w: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2B2973" w:rsidRDefault="002B2973" w:rsidP="00C97F17">
      <w:pPr>
        <w:spacing w:line="480" w:lineRule="auto"/>
        <w:ind w:right="183"/>
      </w:pPr>
    </w:p>
    <w:p w:rsidR="005E4B1D" w:rsidRPr="0066567F" w:rsidRDefault="00817AEE" w:rsidP="00C97F17">
      <w:pPr>
        <w:spacing w:line="480" w:lineRule="auto"/>
        <w:ind w:right="183"/>
      </w:pPr>
      <w:r>
        <w:lastRenderedPageBreak/>
        <w:t>Table 3</w:t>
      </w:r>
      <w:r w:rsidR="005E4B1D" w:rsidRPr="0066567F">
        <w:t xml:space="preserve">:  </w:t>
      </w:r>
      <w:r w:rsidR="00A10065" w:rsidRPr="0066567F">
        <w:t xml:space="preserve">Results of DFA analyses for comparisons of the Elephantine, Giza and </w:t>
      </w:r>
      <w:proofErr w:type="spellStart"/>
      <w:r w:rsidR="00A10065" w:rsidRPr="0066567F">
        <w:t>Teti</w:t>
      </w:r>
      <w:proofErr w:type="spellEnd"/>
      <w:r w:rsidR="00A10065" w:rsidRPr="0066567F">
        <w:t xml:space="preserve"> assemblages.</w:t>
      </w:r>
    </w:p>
    <w:p w:rsidR="005E4B1D" w:rsidRPr="0066567F" w:rsidRDefault="005E4B1D" w:rsidP="005E4B1D"/>
    <w:p w:rsidR="005E4B1D" w:rsidRPr="00F2490F" w:rsidRDefault="005E4B1D" w:rsidP="005E4B1D">
      <w:pPr>
        <w:rPr>
          <w:b/>
          <w:color w:val="000000" w:themeColor="text1"/>
        </w:rPr>
      </w:pPr>
      <w:proofErr w:type="spellStart"/>
      <w:proofErr w:type="gramStart"/>
      <w:r w:rsidRPr="00F2490F">
        <w:rPr>
          <w:b/>
          <w:color w:val="000000" w:themeColor="text1"/>
        </w:rPr>
        <w:t>Dyn</w:t>
      </w:r>
      <w:proofErr w:type="spellEnd"/>
      <w:r w:rsidRPr="00F2490F">
        <w:rPr>
          <w:b/>
          <w:color w:val="000000" w:themeColor="text1"/>
        </w:rPr>
        <w:t>/Loc.</w:t>
      </w:r>
      <w:r w:rsidRPr="00F2490F">
        <w:rPr>
          <w:b/>
          <w:color w:val="000000" w:themeColor="text1"/>
        </w:rPr>
        <w:tab/>
        <w:t>N</w:t>
      </w:r>
      <w:r w:rsidRPr="00F2490F">
        <w:rPr>
          <w:b/>
          <w:color w:val="000000" w:themeColor="text1"/>
        </w:rPr>
        <w:tab/>
      </w:r>
      <w:proofErr w:type="spellStart"/>
      <w:r w:rsidRPr="00F2490F">
        <w:rPr>
          <w:b/>
          <w:color w:val="000000" w:themeColor="text1"/>
        </w:rPr>
        <w:t>Eigenvalue</w:t>
      </w:r>
      <w:proofErr w:type="spellEnd"/>
      <w:r w:rsidRPr="00F2490F">
        <w:rPr>
          <w:b/>
          <w:color w:val="000000" w:themeColor="text1"/>
        </w:rPr>
        <w:t xml:space="preserve"> 1 % variance </w:t>
      </w:r>
      <w:r w:rsidRPr="00F2490F">
        <w:rPr>
          <w:b/>
          <w:color w:val="000000" w:themeColor="text1"/>
        </w:rPr>
        <w:tab/>
      </w:r>
      <w:r w:rsidRPr="00F2490F">
        <w:rPr>
          <w:b/>
          <w:color w:val="000000" w:themeColor="text1"/>
        </w:rPr>
        <w:tab/>
      </w:r>
      <w:r w:rsidRPr="00F2490F">
        <w:rPr>
          <w:b/>
          <w:color w:val="000000" w:themeColor="text1"/>
        </w:rPr>
        <w:tab/>
      </w:r>
      <w:proofErr w:type="spellStart"/>
      <w:r w:rsidRPr="00F2490F">
        <w:rPr>
          <w:b/>
          <w:color w:val="000000" w:themeColor="text1"/>
        </w:rPr>
        <w:t>Attr</w:t>
      </w:r>
      <w:proofErr w:type="spellEnd"/>
      <w:r w:rsidRPr="00F2490F">
        <w:rPr>
          <w:b/>
          <w:color w:val="000000" w:themeColor="text1"/>
        </w:rPr>
        <w:t>.</w:t>
      </w:r>
      <w:proofErr w:type="gramEnd"/>
      <w:r w:rsidRPr="00F2490F">
        <w:rPr>
          <w:b/>
          <w:color w:val="000000" w:themeColor="text1"/>
        </w:rPr>
        <w:t xml:space="preserve"> </w:t>
      </w:r>
      <w:proofErr w:type="gramStart"/>
      <w:r w:rsidRPr="00F2490F">
        <w:rPr>
          <w:b/>
          <w:color w:val="000000" w:themeColor="text1"/>
        </w:rPr>
        <w:t>with</w:t>
      </w:r>
      <w:proofErr w:type="gramEnd"/>
      <w:r w:rsidRPr="00F2490F">
        <w:rPr>
          <w:b/>
          <w:color w:val="000000" w:themeColor="text1"/>
        </w:rPr>
        <w:t xml:space="preserve"> highest cor. DF1</w:t>
      </w:r>
    </w:p>
    <w:p w:rsidR="005E4B1D" w:rsidRPr="00F2490F" w:rsidRDefault="005E4B1D" w:rsidP="005E4B1D">
      <w:pPr>
        <w:ind w:left="1440" w:firstLine="720"/>
        <w:rPr>
          <w:b/>
          <w:color w:val="000000" w:themeColor="text1"/>
        </w:rPr>
      </w:pPr>
      <w:proofErr w:type="gramStart"/>
      <w:r w:rsidRPr="00F2490F">
        <w:rPr>
          <w:b/>
          <w:color w:val="000000" w:themeColor="text1"/>
        </w:rPr>
        <w:t>accounted</w:t>
      </w:r>
      <w:proofErr w:type="gramEnd"/>
      <w:r w:rsidRPr="00F2490F">
        <w:rPr>
          <w:b/>
          <w:color w:val="000000" w:themeColor="text1"/>
        </w:rPr>
        <w:t xml:space="preserve"> for</w:t>
      </w:r>
      <w:r w:rsidRPr="00F2490F">
        <w:rPr>
          <w:b/>
          <w:color w:val="000000" w:themeColor="text1"/>
        </w:rPr>
        <w:tab/>
      </w:r>
      <w:r w:rsidRPr="00F2490F">
        <w:rPr>
          <w:b/>
          <w:color w:val="000000" w:themeColor="text1"/>
        </w:rPr>
        <w:tab/>
      </w:r>
      <w:r w:rsidRPr="00F2490F">
        <w:rPr>
          <w:b/>
          <w:color w:val="000000" w:themeColor="text1"/>
        </w:rPr>
        <w:tab/>
      </w:r>
      <w:r w:rsidRPr="00F2490F">
        <w:rPr>
          <w:b/>
          <w:color w:val="000000" w:themeColor="text1"/>
        </w:rPr>
        <w:tab/>
      </w:r>
      <w:r w:rsidRPr="00F2490F">
        <w:rPr>
          <w:b/>
          <w:color w:val="000000" w:themeColor="text1"/>
        </w:rPr>
        <w:tab/>
      </w:r>
    </w:p>
    <w:p w:rsidR="005E4B1D" w:rsidRPr="00F2490F" w:rsidRDefault="005E4B1D" w:rsidP="005E4B1D">
      <w:pPr>
        <w:rPr>
          <w:color w:val="000000" w:themeColor="text1"/>
        </w:rPr>
      </w:pPr>
    </w:p>
    <w:p w:rsidR="005E4B1D" w:rsidRPr="00F2490F" w:rsidRDefault="005E4B1D" w:rsidP="005E4B1D">
      <w:pPr>
        <w:rPr>
          <w:i/>
          <w:color w:val="000000" w:themeColor="text1"/>
        </w:rPr>
      </w:pPr>
      <w:r w:rsidRPr="00F2490F">
        <w:rPr>
          <w:i/>
          <w:color w:val="000000" w:themeColor="text1"/>
        </w:rPr>
        <w:t>Elephantine only</w:t>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2</w:t>
      </w:r>
      <w:r w:rsidRPr="00F2490F">
        <w:rPr>
          <w:color w:val="000000" w:themeColor="text1"/>
          <w:vertAlign w:val="superscript"/>
        </w:rPr>
        <w:t>nd</w:t>
      </w:r>
      <w:r w:rsidR="00832859" w:rsidRPr="00F2490F">
        <w:rPr>
          <w:color w:val="000000" w:themeColor="text1"/>
        </w:rPr>
        <w:t xml:space="preserve"> </w:t>
      </w:r>
      <w:r w:rsidR="00832859" w:rsidRPr="00F2490F">
        <w:rPr>
          <w:color w:val="000000" w:themeColor="text1"/>
        </w:rPr>
        <w:tab/>
      </w:r>
      <w:r w:rsidR="00832859" w:rsidRPr="00F2490F">
        <w:rPr>
          <w:color w:val="000000" w:themeColor="text1"/>
        </w:rPr>
        <w:tab/>
      </w:r>
      <w:r w:rsidR="00F2490F" w:rsidRPr="00F2490F">
        <w:rPr>
          <w:color w:val="000000" w:themeColor="text1"/>
        </w:rPr>
        <w:t>10</w:t>
      </w:r>
      <w:r w:rsidR="00F2490F" w:rsidRPr="00F2490F">
        <w:rPr>
          <w:color w:val="000000" w:themeColor="text1"/>
        </w:rPr>
        <w:tab/>
      </w:r>
      <w:r w:rsidR="00F2490F" w:rsidRPr="00F2490F">
        <w:rPr>
          <w:color w:val="000000" w:themeColor="text1"/>
        </w:rPr>
        <w:tab/>
      </w:r>
      <w:r w:rsidR="00F2490F" w:rsidRPr="00F2490F">
        <w:rPr>
          <w:color w:val="000000" w:themeColor="text1"/>
        </w:rPr>
        <w:tab/>
        <w:t>91.3%</w:t>
      </w:r>
      <w:r w:rsidR="00F2490F" w:rsidRPr="00F2490F">
        <w:rPr>
          <w:color w:val="000000" w:themeColor="text1"/>
        </w:rPr>
        <w:tab/>
      </w:r>
      <w:r w:rsidR="00F2490F" w:rsidRPr="00F2490F">
        <w:rPr>
          <w:color w:val="000000" w:themeColor="text1"/>
        </w:rPr>
        <w:tab/>
      </w:r>
      <w:r w:rsidR="00F2490F" w:rsidRPr="00F2490F">
        <w:rPr>
          <w:color w:val="000000" w:themeColor="text1"/>
        </w:rPr>
        <w:tab/>
      </w:r>
      <w:r w:rsidR="00F2490F" w:rsidRPr="00F2490F">
        <w:rPr>
          <w:color w:val="000000" w:themeColor="text1"/>
        </w:rPr>
        <w:tab/>
      </w:r>
      <w:proofErr w:type="spellStart"/>
      <w:r w:rsidR="00F2490F" w:rsidRPr="00F2490F">
        <w:rPr>
          <w:color w:val="000000" w:themeColor="text1"/>
        </w:rPr>
        <w:t>Diam</w:t>
      </w:r>
      <w:proofErr w:type="spellEnd"/>
      <w:r w:rsidRPr="00F2490F">
        <w:rPr>
          <w:color w:val="000000" w:themeColor="text1"/>
        </w:rPr>
        <w:t>, 0.897</w:t>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3</w:t>
      </w:r>
      <w:r w:rsidRPr="00F2490F">
        <w:rPr>
          <w:color w:val="000000" w:themeColor="text1"/>
          <w:vertAlign w:val="superscript"/>
        </w:rPr>
        <w:t>rd</w:t>
      </w:r>
      <w:r w:rsidRPr="00F2490F">
        <w:rPr>
          <w:color w:val="000000" w:themeColor="text1"/>
        </w:rPr>
        <w:t>/4</w:t>
      </w:r>
      <w:r w:rsidRPr="00F2490F">
        <w:rPr>
          <w:color w:val="000000" w:themeColor="text1"/>
          <w:vertAlign w:val="superscript"/>
        </w:rPr>
        <w:t>th</w:t>
      </w:r>
      <w:r w:rsidRPr="00F2490F">
        <w:rPr>
          <w:color w:val="000000" w:themeColor="text1"/>
        </w:rPr>
        <w:t xml:space="preserve"> </w:t>
      </w:r>
      <w:r w:rsidRPr="00F2490F">
        <w:rPr>
          <w:color w:val="000000" w:themeColor="text1"/>
        </w:rPr>
        <w:tab/>
        <w:t>20</w:t>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6</w:t>
      </w:r>
      <w:r w:rsidRPr="00F2490F">
        <w:rPr>
          <w:color w:val="000000" w:themeColor="text1"/>
          <w:vertAlign w:val="superscript"/>
        </w:rPr>
        <w:t>th</w:t>
      </w:r>
      <w:r w:rsidRPr="00F2490F">
        <w:rPr>
          <w:color w:val="000000" w:themeColor="text1"/>
        </w:rPr>
        <w:t xml:space="preserve"> </w:t>
      </w:r>
      <w:r w:rsidRPr="00F2490F">
        <w:rPr>
          <w:color w:val="000000" w:themeColor="text1"/>
        </w:rPr>
        <w:tab/>
      </w:r>
      <w:r w:rsidRPr="00F2490F">
        <w:rPr>
          <w:color w:val="000000" w:themeColor="text1"/>
        </w:rPr>
        <w:tab/>
        <w:t xml:space="preserve">  6</w:t>
      </w:r>
      <w:r w:rsidRPr="00F2490F">
        <w:rPr>
          <w:color w:val="000000" w:themeColor="text1"/>
        </w:rPr>
        <w:tab/>
      </w:r>
      <w:r w:rsidRPr="00F2490F">
        <w:rPr>
          <w:color w:val="000000" w:themeColor="text1"/>
        </w:rPr>
        <w:tab/>
      </w:r>
      <w:r w:rsidRPr="00F2490F">
        <w:rPr>
          <w:color w:val="000000" w:themeColor="text1"/>
        </w:rPr>
        <w:tab/>
      </w:r>
      <w:r w:rsidRPr="00F2490F">
        <w:rPr>
          <w:color w:val="000000" w:themeColor="text1"/>
        </w:rPr>
        <w:tab/>
      </w:r>
      <w:r w:rsidRPr="00F2490F">
        <w:rPr>
          <w:color w:val="000000" w:themeColor="text1"/>
        </w:rPr>
        <w:tab/>
        <w:t xml:space="preserve">   </w:t>
      </w:r>
    </w:p>
    <w:p w:rsidR="005E4B1D" w:rsidRPr="00F2490F" w:rsidRDefault="005E4B1D" w:rsidP="005E4B1D">
      <w:pPr>
        <w:rPr>
          <w:color w:val="000000" w:themeColor="text1"/>
        </w:rPr>
      </w:pPr>
    </w:p>
    <w:p w:rsidR="005E4B1D" w:rsidRPr="00F2490F" w:rsidRDefault="005E4B1D" w:rsidP="005E4B1D">
      <w:pPr>
        <w:rPr>
          <w:i/>
          <w:color w:val="000000" w:themeColor="text1"/>
        </w:rPr>
      </w:pPr>
      <w:r w:rsidRPr="00F2490F">
        <w:rPr>
          <w:i/>
          <w:color w:val="000000" w:themeColor="text1"/>
        </w:rPr>
        <w:t>Elephantine/ Giza</w:t>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2</w:t>
      </w:r>
      <w:r w:rsidRPr="00F2490F">
        <w:rPr>
          <w:color w:val="000000" w:themeColor="text1"/>
          <w:vertAlign w:val="superscript"/>
        </w:rPr>
        <w:t>nd</w:t>
      </w:r>
      <w:r w:rsidR="00F2490F" w:rsidRPr="00F2490F">
        <w:rPr>
          <w:color w:val="000000" w:themeColor="text1"/>
        </w:rPr>
        <w:t xml:space="preserve"> </w:t>
      </w:r>
      <w:r w:rsidR="00F2490F" w:rsidRPr="00F2490F">
        <w:rPr>
          <w:color w:val="000000" w:themeColor="text1"/>
        </w:rPr>
        <w:tab/>
      </w:r>
      <w:r w:rsidRPr="00F2490F">
        <w:rPr>
          <w:color w:val="000000" w:themeColor="text1"/>
        </w:rPr>
        <w:t>10</w:t>
      </w:r>
      <w:r w:rsidRPr="00F2490F">
        <w:rPr>
          <w:color w:val="000000" w:themeColor="text1"/>
        </w:rPr>
        <w:tab/>
      </w:r>
      <w:r w:rsidRPr="00F2490F">
        <w:rPr>
          <w:color w:val="000000" w:themeColor="text1"/>
        </w:rPr>
        <w:tab/>
      </w:r>
      <w:r w:rsidRPr="00F2490F">
        <w:rPr>
          <w:color w:val="000000" w:themeColor="text1"/>
        </w:rPr>
        <w:tab/>
      </w:r>
      <w:r w:rsidR="00F2490F" w:rsidRPr="00F2490F">
        <w:rPr>
          <w:color w:val="000000" w:themeColor="text1"/>
        </w:rPr>
        <w:tab/>
      </w:r>
      <w:r w:rsidRPr="00F2490F">
        <w:rPr>
          <w:color w:val="000000" w:themeColor="text1"/>
        </w:rPr>
        <w:t>80.5</w:t>
      </w:r>
      <w:r w:rsidRPr="00F2490F">
        <w:rPr>
          <w:color w:val="000000" w:themeColor="text1"/>
        </w:rPr>
        <w:tab/>
      </w:r>
      <w:r w:rsidRPr="00F2490F">
        <w:rPr>
          <w:color w:val="000000" w:themeColor="text1"/>
        </w:rPr>
        <w:tab/>
      </w:r>
      <w:r w:rsidRPr="00F2490F">
        <w:rPr>
          <w:color w:val="000000" w:themeColor="text1"/>
        </w:rPr>
        <w:tab/>
      </w:r>
      <w:r w:rsidRPr="00F2490F">
        <w:rPr>
          <w:color w:val="000000" w:themeColor="text1"/>
        </w:rPr>
        <w:tab/>
      </w:r>
      <w:proofErr w:type="spellStart"/>
      <w:r w:rsidR="00F2490F" w:rsidRPr="00F2490F">
        <w:rPr>
          <w:color w:val="000000" w:themeColor="text1"/>
        </w:rPr>
        <w:t>Diam</w:t>
      </w:r>
      <w:proofErr w:type="spellEnd"/>
      <w:r w:rsidR="00F2490F" w:rsidRPr="00F2490F">
        <w:rPr>
          <w:color w:val="000000" w:themeColor="text1"/>
        </w:rPr>
        <w:t>, 0.7 and CAZ, 0.5</w:t>
      </w:r>
      <w:r w:rsidRPr="00F2490F">
        <w:rPr>
          <w:color w:val="000000" w:themeColor="text1"/>
        </w:rPr>
        <w:tab/>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3</w:t>
      </w:r>
      <w:r w:rsidRPr="00F2490F">
        <w:rPr>
          <w:color w:val="000000" w:themeColor="text1"/>
          <w:vertAlign w:val="superscript"/>
        </w:rPr>
        <w:t>rd</w:t>
      </w:r>
      <w:r w:rsidRPr="00F2490F">
        <w:rPr>
          <w:color w:val="000000" w:themeColor="text1"/>
        </w:rPr>
        <w:t>/4</w:t>
      </w:r>
      <w:r w:rsidRPr="00F2490F">
        <w:rPr>
          <w:color w:val="000000" w:themeColor="text1"/>
          <w:vertAlign w:val="superscript"/>
        </w:rPr>
        <w:t>th</w:t>
      </w:r>
      <w:r w:rsidRPr="00F2490F">
        <w:rPr>
          <w:color w:val="000000" w:themeColor="text1"/>
        </w:rPr>
        <w:t xml:space="preserve"> </w:t>
      </w:r>
      <w:r w:rsidRPr="00F2490F">
        <w:rPr>
          <w:color w:val="000000" w:themeColor="text1"/>
        </w:rPr>
        <w:tab/>
        <w:t>20</w:t>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6</w:t>
      </w:r>
      <w:r w:rsidRPr="00F2490F">
        <w:rPr>
          <w:color w:val="000000" w:themeColor="text1"/>
          <w:vertAlign w:val="superscript"/>
        </w:rPr>
        <w:t>th</w:t>
      </w:r>
      <w:r w:rsidRPr="00F2490F">
        <w:rPr>
          <w:color w:val="000000" w:themeColor="text1"/>
        </w:rPr>
        <w:t xml:space="preserve"> </w:t>
      </w:r>
      <w:r w:rsidRPr="00F2490F">
        <w:rPr>
          <w:color w:val="000000" w:themeColor="text1"/>
        </w:rPr>
        <w:tab/>
      </w:r>
      <w:r w:rsidRPr="00F2490F">
        <w:rPr>
          <w:color w:val="000000" w:themeColor="text1"/>
        </w:rPr>
        <w:tab/>
        <w:t xml:space="preserve">  6</w:t>
      </w:r>
    </w:p>
    <w:p w:rsidR="005E4B1D" w:rsidRPr="00F2490F" w:rsidRDefault="005E4B1D" w:rsidP="005E4B1D">
      <w:pPr>
        <w:rPr>
          <w:color w:val="000000" w:themeColor="text1"/>
        </w:rPr>
      </w:pPr>
      <w:r w:rsidRPr="00F2490F">
        <w:rPr>
          <w:color w:val="000000" w:themeColor="text1"/>
        </w:rPr>
        <w:t>Giza 4</w:t>
      </w:r>
      <w:r w:rsidRPr="00F2490F">
        <w:rPr>
          <w:color w:val="000000" w:themeColor="text1"/>
          <w:vertAlign w:val="superscript"/>
        </w:rPr>
        <w:t>th</w:t>
      </w:r>
      <w:r w:rsidR="00F2490F" w:rsidRPr="00F2490F">
        <w:rPr>
          <w:color w:val="000000" w:themeColor="text1"/>
        </w:rPr>
        <w:tab/>
      </w:r>
      <w:r w:rsidRPr="00F2490F">
        <w:rPr>
          <w:color w:val="000000" w:themeColor="text1"/>
        </w:rPr>
        <w:t>301</w:t>
      </w:r>
    </w:p>
    <w:p w:rsidR="00F2490F" w:rsidRPr="00F2490F" w:rsidRDefault="00F2490F" w:rsidP="005E4B1D">
      <w:pPr>
        <w:rPr>
          <w:color w:val="000000" w:themeColor="text1"/>
        </w:rPr>
      </w:pPr>
    </w:p>
    <w:p w:rsidR="005E4B1D" w:rsidRPr="00F2490F" w:rsidRDefault="005E4B1D" w:rsidP="005E4B1D">
      <w:pPr>
        <w:rPr>
          <w:i/>
          <w:color w:val="000000" w:themeColor="text1"/>
        </w:rPr>
      </w:pPr>
      <w:r w:rsidRPr="00F2490F">
        <w:rPr>
          <w:i/>
          <w:color w:val="000000" w:themeColor="text1"/>
        </w:rPr>
        <w:t xml:space="preserve">Elephantine/ </w:t>
      </w:r>
      <w:proofErr w:type="spellStart"/>
      <w:r w:rsidRPr="00F2490F">
        <w:rPr>
          <w:i/>
          <w:color w:val="000000" w:themeColor="text1"/>
        </w:rPr>
        <w:t>Teti</w:t>
      </w:r>
      <w:proofErr w:type="spellEnd"/>
    </w:p>
    <w:p w:rsidR="005E4B1D" w:rsidRPr="00F2490F" w:rsidRDefault="005E4B1D" w:rsidP="009E0B3B">
      <w:pPr>
        <w:ind w:right="-720"/>
        <w:rPr>
          <w:color w:val="000000" w:themeColor="text1"/>
        </w:rPr>
      </w:pPr>
      <w:proofErr w:type="spellStart"/>
      <w:r w:rsidRPr="00F2490F">
        <w:rPr>
          <w:color w:val="000000" w:themeColor="text1"/>
        </w:rPr>
        <w:t>Ele</w:t>
      </w:r>
      <w:proofErr w:type="spellEnd"/>
      <w:r w:rsidRPr="00F2490F">
        <w:rPr>
          <w:color w:val="000000" w:themeColor="text1"/>
        </w:rPr>
        <w:t xml:space="preserve"> 2</w:t>
      </w:r>
      <w:r w:rsidRPr="00F2490F">
        <w:rPr>
          <w:color w:val="000000" w:themeColor="text1"/>
          <w:vertAlign w:val="superscript"/>
        </w:rPr>
        <w:t xml:space="preserve">nd </w:t>
      </w:r>
      <w:r w:rsidRPr="00F2490F">
        <w:rPr>
          <w:color w:val="000000" w:themeColor="text1"/>
        </w:rPr>
        <w:tab/>
      </w:r>
      <w:r w:rsidRPr="00F2490F">
        <w:rPr>
          <w:color w:val="000000" w:themeColor="text1"/>
        </w:rPr>
        <w:tab/>
        <w:t>10</w:t>
      </w:r>
      <w:r w:rsidRPr="00F2490F">
        <w:rPr>
          <w:color w:val="000000" w:themeColor="text1"/>
        </w:rPr>
        <w:tab/>
      </w:r>
      <w:r w:rsidRPr="00F2490F">
        <w:rPr>
          <w:color w:val="000000" w:themeColor="text1"/>
        </w:rPr>
        <w:tab/>
      </w:r>
      <w:r w:rsidR="00C97F17" w:rsidRPr="00F2490F">
        <w:rPr>
          <w:color w:val="000000" w:themeColor="text1"/>
        </w:rPr>
        <w:tab/>
      </w:r>
      <w:r w:rsidRPr="00F2490F">
        <w:rPr>
          <w:color w:val="000000" w:themeColor="text1"/>
        </w:rPr>
        <w:t>92.5</w:t>
      </w:r>
      <w:r w:rsidRPr="00F2490F">
        <w:rPr>
          <w:color w:val="000000" w:themeColor="text1"/>
        </w:rPr>
        <w:tab/>
      </w:r>
      <w:r w:rsidRPr="00F2490F">
        <w:rPr>
          <w:color w:val="000000" w:themeColor="text1"/>
        </w:rPr>
        <w:tab/>
      </w:r>
      <w:r w:rsidR="009E0B3B" w:rsidRPr="00F2490F">
        <w:rPr>
          <w:color w:val="000000" w:themeColor="text1"/>
        </w:rPr>
        <w:tab/>
      </w:r>
      <w:r w:rsidR="009E0B3B" w:rsidRPr="00F2490F">
        <w:rPr>
          <w:color w:val="000000" w:themeColor="text1"/>
        </w:rPr>
        <w:tab/>
      </w:r>
      <w:proofErr w:type="spellStart"/>
      <w:r w:rsidR="00F2490F" w:rsidRPr="00F2490F">
        <w:rPr>
          <w:color w:val="000000" w:themeColor="text1"/>
        </w:rPr>
        <w:t>Diam</w:t>
      </w:r>
      <w:proofErr w:type="spellEnd"/>
      <w:r w:rsidR="00F2490F" w:rsidRPr="00F2490F">
        <w:rPr>
          <w:color w:val="000000" w:themeColor="text1"/>
        </w:rPr>
        <w:t>, 0.7 and CAZ, 0.7</w:t>
      </w:r>
      <w:r w:rsidR="009E0B3B" w:rsidRPr="00F2490F">
        <w:rPr>
          <w:color w:val="000000" w:themeColor="text1"/>
        </w:rPr>
        <w:tab/>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3</w:t>
      </w:r>
      <w:r w:rsidRPr="00F2490F">
        <w:rPr>
          <w:color w:val="000000" w:themeColor="text1"/>
          <w:vertAlign w:val="superscript"/>
        </w:rPr>
        <w:t>rd</w:t>
      </w:r>
      <w:r w:rsidRPr="00F2490F">
        <w:rPr>
          <w:color w:val="000000" w:themeColor="text1"/>
        </w:rPr>
        <w:t>/4</w:t>
      </w:r>
      <w:r w:rsidRPr="00F2490F">
        <w:rPr>
          <w:color w:val="000000" w:themeColor="text1"/>
          <w:vertAlign w:val="superscript"/>
        </w:rPr>
        <w:t>th</w:t>
      </w:r>
      <w:r w:rsidRPr="00F2490F">
        <w:rPr>
          <w:color w:val="000000" w:themeColor="text1"/>
        </w:rPr>
        <w:t xml:space="preserve"> </w:t>
      </w:r>
      <w:r w:rsidRPr="00F2490F">
        <w:rPr>
          <w:color w:val="000000" w:themeColor="text1"/>
        </w:rPr>
        <w:tab/>
        <w:t>20</w:t>
      </w:r>
    </w:p>
    <w:p w:rsidR="005E4B1D" w:rsidRPr="00F2490F" w:rsidRDefault="005E4B1D" w:rsidP="005E4B1D">
      <w:pPr>
        <w:rPr>
          <w:color w:val="000000" w:themeColor="text1"/>
        </w:rPr>
      </w:pPr>
      <w:proofErr w:type="spellStart"/>
      <w:r w:rsidRPr="00F2490F">
        <w:rPr>
          <w:color w:val="000000" w:themeColor="text1"/>
        </w:rPr>
        <w:t>Ele</w:t>
      </w:r>
      <w:proofErr w:type="spellEnd"/>
      <w:r w:rsidRPr="00F2490F">
        <w:rPr>
          <w:color w:val="000000" w:themeColor="text1"/>
        </w:rPr>
        <w:t xml:space="preserve"> 6</w:t>
      </w:r>
      <w:r w:rsidRPr="00F2490F">
        <w:rPr>
          <w:color w:val="000000" w:themeColor="text1"/>
          <w:vertAlign w:val="superscript"/>
        </w:rPr>
        <w:t>th</w:t>
      </w:r>
      <w:r w:rsidRPr="00F2490F">
        <w:rPr>
          <w:color w:val="000000" w:themeColor="text1"/>
        </w:rPr>
        <w:t xml:space="preserve"> </w:t>
      </w:r>
      <w:r w:rsidRPr="00F2490F">
        <w:rPr>
          <w:color w:val="000000" w:themeColor="text1"/>
        </w:rPr>
        <w:tab/>
      </w:r>
      <w:r w:rsidRPr="00F2490F">
        <w:rPr>
          <w:color w:val="000000" w:themeColor="text1"/>
        </w:rPr>
        <w:tab/>
        <w:t xml:space="preserve">  6</w:t>
      </w:r>
    </w:p>
    <w:p w:rsidR="005E4B1D" w:rsidRPr="00F2490F" w:rsidRDefault="005E4B1D" w:rsidP="005E4B1D">
      <w:pPr>
        <w:rPr>
          <w:color w:val="000000" w:themeColor="text1"/>
        </w:rPr>
      </w:pPr>
      <w:proofErr w:type="spellStart"/>
      <w:r w:rsidRPr="00F2490F">
        <w:rPr>
          <w:color w:val="000000" w:themeColor="text1"/>
        </w:rPr>
        <w:t>Teti</w:t>
      </w:r>
      <w:proofErr w:type="spellEnd"/>
      <w:r w:rsidRPr="00F2490F">
        <w:rPr>
          <w:color w:val="000000" w:themeColor="text1"/>
        </w:rPr>
        <w:t xml:space="preserve"> 6</w:t>
      </w:r>
      <w:r w:rsidRPr="00F2490F">
        <w:rPr>
          <w:color w:val="000000" w:themeColor="text1"/>
          <w:vertAlign w:val="superscript"/>
        </w:rPr>
        <w:t>th</w:t>
      </w:r>
      <w:r w:rsidR="00F2490F" w:rsidRPr="00F2490F">
        <w:rPr>
          <w:color w:val="000000" w:themeColor="text1"/>
        </w:rPr>
        <w:t xml:space="preserve"> </w:t>
      </w:r>
      <w:r w:rsidR="00F2490F" w:rsidRPr="00F2490F">
        <w:rPr>
          <w:color w:val="000000" w:themeColor="text1"/>
        </w:rPr>
        <w:tab/>
      </w:r>
      <w:r w:rsidRPr="00F2490F">
        <w:rPr>
          <w:color w:val="000000" w:themeColor="text1"/>
        </w:rPr>
        <w:t>60</w:t>
      </w:r>
    </w:p>
    <w:p w:rsidR="006F41FA" w:rsidRPr="0066567F" w:rsidRDefault="006F41FA" w:rsidP="0041298D">
      <w:pPr>
        <w:spacing w:line="480" w:lineRule="auto"/>
        <w:ind w:right="183"/>
        <w:rPr>
          <w:i/>
          <w:iCs/>
        </w:rPr>
      </w:pPr>
    </w:p>
    <w:p w:rsidR="00B41423" w:rsidRPr="0066567F" w:rsidRDefault="00B41423" w:rsidP="00B41423">
      <w:pPr>
        <w:spacing w:line="480" w:lineRule="auto"/>
        <w:ind w:right="183"/>
      </w:pPr>
      <w:r w:rsidRPr="0066567F">
        <w:t xml:space="preserve">Figure 6 illustrates the relationship between the earliest jars and later </w:t>
      </w:r>
      <w:proofErr w:type="spellStart"/>
      <w:r w:rsidRPr="0066567F">
        <w:t>Meidum</w:t>
      </w:r>
      <w:proofErr w:type="spellEnd"/>
      <w:r w:rsidRPr="0066567F">
        <w:t xml:space="preserve"> bowl forms at Elephantine in canonical space.</w:t>
      </w:r>
    </w:p>
    <w:p w:rsidR="00B41423" w:rsidRPr="0066567F" w:rsidRDefault="00C97F17" w:rsidP="00B41423">
      <w:pPr>
        <w:spacing w:line="480" w:lineRule="auto"/>
        <w:ind w:right="183"/>
      </w:pPr>
      <w:r w:rsidRPr="0066567F">
        <w:rPr>
          <w:noProof/>
        </w:rPr>
        <w:lastRenderedPageBreak/>
        <w:drawing>
          <wp:inline distT="0" distB="0" distL="0" distR="0">
            <wp:extent cx="5943600" cy="4533265"/>
            <wp:effectExtent l="19050" t="0" r="0" b="0"/>
            <wp:docPr id="7" name="Picture 6" descr="Figure 6 ele onl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 ele only.tif"/>
                    <pic:cNvPicPr/>
                  </pic:nvPicPr>
                  <pic:blipFill>
                    <a:blip r:embed="rId13"/>
                    <a:stretch>
                      <a:fillRect/>
                    </a:stretch>
                  </pic:blipFill>
                  <pic:spPr>
                    <a:xfrm>
                      <a:off x="0" y="0"/>
                      <a:ext cx="5943600" cy="4533265"/>
                    </a:xfrm>
                    <a:prstGeom prst="rect">
                      <a:avLst/>
                    </a:prstGeom>
                  </pic:spPr>
                </pic:pic>
              </a:graphicData>
            </a:graphic>
          </wp:inline>
        </w:drawing>
      </w:r>
    </w:p>
    <w:p w:rsidR="00B41423" w:rsidRPr="0066567F" w:rsidRDefault="00A10065" w:rsidP="00A10065">
      <w:pPr>
        <w:pStyle w:val="NoSpacing"/>
      </w:pPr>
      <w:proofErr w:type="gramStart"/>
      <w:r w:rsidRPr="0066567F">
        <w:rPr>
          <w:b/>
        </w:rPr>
        <w:t>Figure 6.</w:t>
      </w:r>
      <w:proofErr w:type="gramEnd"/>
      <w:r w:rsidRPr="0066567F">
        <w:rPr>
          <w:b/>
        </w:rPr>
        <w:t xml:space="preserve"> </w:t>
      </w:r>
      <w:r w:rsidRPr="0066567F">
        <w:t xml:space="preserve"> </w:t>
      </w:r>
      <w:proofErr w:type="gramStart"/>
      <w:r w:rsidRPr="0066567F">
        <w:t xml:space="preserve">Combined groups plot illustrating the relationship between the earliest jars and later </w:t>
      </w:r>
      <w:proofErr w:type="spellStart"/>
      <w:r w:rsidRPr="0066567F">
        <w:t>Meidum</w:t>
      </w:r>
      <w:proofErr w:type="spellEnd"/>
      <w:r w:rsidRPr="0066567F">
        <w:t xml:space="preserve"> bowl forms at Elephantine in canonical space.</w:t>
      </w:r>
      <w:proofErr w:type="gramEnd"/>
      <w:r w:rsidRPr="0066567F">
        <w:t xml:space="preserve">  </w:t>
      </w:r>
      <w:proofErr w:type="spellStart"/>
      <w:r w:rsidRPr="0066567F">
        <w:t>Centroid</w:t>
      </w:r>
      <w:proofErr w:type="spellEnd"/>
      <w:r w:rsidRPr="0066567F">
        <w:t xml:space="preserve"> 1 = Elephantine 2</w:t>
      </w:r>
      <w:r w:rsidRPr="0066567F">
        <w:rPr>
          <w:vertAlign w:val="superscript"/>
        </w:rPr>
        <w:t>nd</w:t>
      </w:r>
      <w:r w:rsidRPr="0066567F">
        <w:t xml:space="preserve"> </w:t>
      </w:r>
      <w:proofErr w:type="spellStart"/>
      <w:proofErr w:type="gramStart"/>
      <w:r w:rsidRPr="0066567F">
        <w:t>Dyn</w:t>
      </w:r>
      <w:proofErr w:type="spellEnd"/>
      <w:r w:rsidRPr="0066567F">
        <w:t>.,</w:t>
      </w:r>
      <w:proofErr w:type="gramEnd"/>
      <w:r w:rsidRPr="0066567F">
        <w:t xml:space="preserve"> </w:t>
      </w:r>
      <w:proofErr w:type="spellStart"/>
      <w:r w:rsidRPr="0066567F">
        <w:t>Centroid</w:t>
      </w:r>
      <w:proofErr w:type="spellEnd"/>
      <w:r w:rsidRPr="0066567F">
        <w:t xml:space="preserve"> 2=Elephantine 3</w:t>
      </w:r>
      <w:r w:rsidRPr="0066567F">
        <w:rPr>
          <w:vertAlign w:val="superscript"/>
        </w:rPr>
        <w:t>rd</w:t>
      </w:r>
      <w:r w:rsidRPr="0066567F">
        <w:t>/4</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3=Elephantine 6</w:t>
      </w:r>
      <w:r w:rsidRPr="0066567F">
        <w:rPr>
          <w:vertAlign w:val="superscript"/>
        </w:rPr>
        <w:t>th</w:t>
      </w:r>
      <w:r w:rsidRPr="0066567F">
        <w:t xml:space="preserve"> </w:t>
      </w:r>
      <w:proofErr w:type="spellStart"/>
      <w:r w:rsidRPr="0066567F">
        <w:t>Dyn</w:t>
      </w:r>
      <w:proofErr w:type="spellEnd"/>
      <w:r w:rsidRPr="0066567F">
        <w:t xml:space="preserve">. </w:t>
      </w:r>
    </w:p>
    <w:p w:rsidR="00B41423" w:rsidRPr="0066567F" w:rsidRDefault="00B41423" w:rsidP="0041298D">
      <w:pPr>
        <w:spacing w:line="480" w:lineRule="auto"/>
        <w:ind w:right="183"/>
        <w:rPr>
          <w:iCs/>
        </w:rPr>
      </w:pPr>
    </w:p>
    <w:p w:rsidR="00A96E62" w:rsidRPr="002B2973" w:rsidRDefault="00A96E62" w:rsidP="0041298D">
      <w:pPr>
        <w:spacing w:line="480" w:lineRule="auto"/>
        <w:ind w:right="183"/>
        <w:rPr>
          <w:iCs/>
        </w:rPr>
      </w:pPr>
      <w:r w:rsidRPr="002B2973">
        <w:rPr>
          <w:iCs/>
        </w:rPr>
        <w:t>Elephantine and Giza</w:t>
      </w:r>
    </w:p>
    <w:p w:rsidR="00A96E62" w:rsidRPr="0066567F" w:rsidRDefault="000C1B41" w:rsidP="0041298D">
      <w:pPr>
        <w:spacing w:line="480" w:lineRule="auto"/>
        <w:ind w:right="183"/>
      </w:pPr>
      <w:r w:rsidRPr="0066567F">
        <w:tab/>
      </w:r>
      <w:proofErr w:type="spellStart"/>
      <w:r w:rsidRPr="0066567F">
        <w:t>Eigenvalue</w:t>
      </w:r>
      <w:proofErr w:type="spellEnd"/>
      <w:r w:rsidRPr="0066567F">
        <w:t xml:space="preserve"> 1 accounts for 80.5% of the overall varia</w:t>
      </w:r>
      <w:r w:rsidR="00D61E08" w:rsidRPr="0066567F">
        <w:t>nce</w:t>
      </w:r>
      <w:r w:rsidRPr="0066567F">
        <w:t xml:space="preserve"> (Table 2). Diameter and Azimuth C are both moderately correlated with </w:t>
      </w:r>
      <w:proofErr w:type="spellStart"/>
      <w:r w:rsidR="00CA65BF" w:rsidRPr="0066567F">
        <w:t>discrimininant</w:t>
      </w:r>
      <w:proofErr w:type="spellEnd"/>
      <w:r w:rsidR="00CA65BF" w:rsidRPr="0066567F">
        <w:t xml:space="preserve"> function</w:t>
      </w:r>
      <w:r w:rsidRPr="0066567F">
        <w:t xml:space="preserve"> 1 (0.675 and 0.541). </w:t>
      </w:r>
      <w:r w:rsidR="00A96E62" w:rsidRPr="0066567F">
        <w:t xml:space="preserve">Despite sample size differences, there appears to nonetheless be some structure to this comparison. </w:t>
      </w:r>
      <w:r w:rsidRPr="0066567F">
        <w:t>Figure 7 illustrates the relationship between the chronologically subdivided Elephantine assemblage and the Giza assemblage. As can be seen in Figure 7, w</w:t>
      </w:r>
      <w:r w:rsidR="00A96E62" w:rsidRPr="0066567F">
        <w:t xml:space="preserve">hen added to the Elephantine assemblage, the Giza assemblage has a minimal effect on the structure of the </w:t>
      </w:r>
      <w:r w:rsidR="00A96E62" w:rsidRPr="0066567F">
        <w:lastRenderedPageBreak/>
        <w:t>discriminating dimensions of diameter and to a less</w:t>
      </w:r>
      <w:r w:rsidR="00CA65BF" w:rsidRPr="0066567F">
        <w:t xml:space="preserve">er extent, Azimuth C.  </w:t>
      </w:r>
      <w:proofErr w:type="spellStart"/>
      <w:r w:rsidR="00CA65BF" w:rsidRPr="0066567F">
        <w:t>Discriminant</w:t>
      </w:r>
      <w:proofErr w:type="spellEnd"/>
      <w:r w:rsidR="00CA65BF" w:rsidRPr="0066567F">
        <w:t xml:space="preserve"> function</w:t>
      </w:r>
      <w:r w:rsidR="00A96E62" w:rsidRPr="0066567F">
        <w:t xml:space="preserve"> 1 accounts for less overall variation</w:t>
      </w:r>
      <w:r w:rsidRPr="0066567F">
        <w:t>, however</w:t>
      </w:r>
      <w:r w:rsidR="00A96E62" w:rsidRPr="0066567F">
        <w:t xml:space="preserve">.  </w:t>
      </w:r>
    </w:p>
    <w:p w:rsidR="00832940" w:rsidRPr="0066567F" w:rsidRDefault="00A96E62" w:rsidP="0041298D">
      <w:pPr>
        <w:spacing w:line="480" w:lineRule="auto"/>
        <w:ind w:right="183"/>
      </w:pPr>
      <w:r w:rsidRPr="0066567F">
        <w:tab/>
        <w:t>Accepting the sample size issues, it nonetheless the later 4</w:t>
      </w:r>
      <w:r w:rsidRPr="0066567F">
        <w:rPr>
          <w:vertAlign w:val="superscript"/>
        </w:rPr>
        <w:t>th</w:t>
      </w:r>
      <w:r w:rsidRPr="0066567F">
        <w:t xml:space="preserve"> Dynasty Giza material encompasses the general morphology of the 3</w:t>
      </w:r>
      <w:r w:rsidRPr="0066567F">
        <w:rPr>
          <w:vertAlign w:val="superscript"/>
        </w:rPr>
        <w:t>rd</w:t>
      </w:r>
      <w:r w:rsidRPr="0066567F">
        <w:t>/ 4</w:t>
      </w:r>
      <w:r w:rsidRPr="0066567F">
        <w:rPr>
          <w:vertAlign w:val="superscript"/>
        </w:rPr>
        <w:t>th</w:t>
      </w:r>
      <w:r w:rsidRPr="0066567F">
        <w:t xml:space="preserve"> Dynasty Elephantine as well as the earlier Dynasties.  The later 6</w:t>
      </w:r>
      <w:r w:rsidRPr="0066567F">
        <w:rPr>
          <w:vertAlign w:val="superscript"/>
        </w:rPr>
        <w:t>th</w:t>
      </w:r>
      <w:r w:rsidRPr="0066567F">
        <w:t xml:space="preserve"> Dynasty material from Elephantine appears to be the most different. </w:t>
      </w:r>
    </w:p>
    <w:p w:rsidR="00A5605D" w:rsidRPr="0066567F" w:rsidRDefault="000573EF" w:rsidP="0041298D">
      <w:pPr>
        <w:spacing w:line="480" w:lineRule="auto"/>
        <w:ind w:right="183"/>
      </w:pPr>
      <w:r w:rsidRPr="0066567F">
        <w:rPr>
          <w:noProof/>
        </w:rPr>
        <w:drawing>
          <wp:inline distT="0" distB="0" distL="0" distR="0">
            <wp:extent cx="5943600" cy="4465955"/>
            <wp:effectExtent l="19050" t="0" r="0" b="0"/>
            <wp:docPr id="9" name="Picture 8" descr="Figure 7giz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giza.tif"/>
                    <pic:cNvPicPr/>
                  </pic:nvPicPr>
                  <pic:blipFill>
                    <a:blip r:embed="rId14"/>
                    <a:stretch>
                      <a:fillRect/>
                    </a:stretch>
                  </pic:blipFill>
                  <pic:spPr>
                    <a:xfrm>
                      <a:off x="0" y="0"/>
                      <a:ext cx="5943600" cy="4465955"/>
                    </a:xfrm>
                    <a:prstGeom prst="rect">
                      <a:avLst/>
                    </a:prstGeom>
                  </pic:spPr>
                </pic:pic>
              </a:graphicData>
            </a:graphic>
          </wp:inline>
        </w:drawing>
      </w:r>
    </w:p>
    <w:p w:rsidR="00A10065" w:rsidRPr="0066567F" w:rsidRDefault="00A10065" w:rsidP="00A10065">
      <w:pPr>
        <w:pStyle w:val="NoSpacing"/>
      </w:pPr>
      <w:proofErr w:type="gramStart"/>
      <w:r w:rsidRPr="0066567F">
        <w:rPr>
          <w:b/>
        </w:rPr>
        <w:t>Figure 7.</w:t>
      </w:r>
      <w:proofErr w:type="gramEnd"/>
      <w:r w:rsidRPr="0066567F">
        <w:rPr>
          <w:b/>
        </w:rPr>
        <w:t xml:space="preserve"> </w:t>
      </w:r>
      <w:r w:rsidRPr="0066567F">
        <w:t xml:space="preserve"> Combined groups plot illustrating the relationship between </w:t>
      </w:r>
      <w:proofErr w:type="spellStart"/>
      <w:r w:rsidRPr="0066567F">
        <w:t>Meidum</w:t>
      </w:r>
      <w:proofErr w:type="spellEnd"/>
      <w:r w:rsidRPr="0066567F">
        <w:t xml:space="preserve"> bowl forms at Elephantine compared to </w:t>
      </w:r>
      <w:proofErr w:type="spellStart"/>
      <w:r w:rsidRPr="0066567F">
        <w:t>Meidum</w:t>
      </w:r>
      <w:proofErr w:type="spellEnd"/>
      <w:r w:rsidRPr="0066567F">
        <w:t xml:space="preserve"> bowl forms from Giza in canonical space.  </w:t>
      </w:r>
      <w:proofErr w:type="spellStart"/>
      <w:r w:rsidRPr="0066567F">
        <w:t>Centroid</w:t>
      </w:r>
      <w:proofErr w:type="spellEnd"/>
      <w:r w:rsidRPr="0066567F">
        <w:t xml:space="preserve"> 1 = Elephantine 2</w:t>
      </w:r>
      <w:r w:rsidRPr="0066567F">
        <w:rPr>
          <w:vertAlign w:val="superscript"/>
        </w:rPr>
        <w:t>nd</w:t>
      </w:r>
      <w:r w:rsidRPr="0066567F">
        <w:t xml:space="preserve"> </w:t>
      </w:r>
      <w:proofErr w:type="spellStart"/>
      <w:proofErr w:type="gramStart"/>
      <w:r w:rsidRPr="0066567F">
        <w:t>Dyn</w:t>
      </w:r>
      <w:proofErr w:type="spellEnd"/>
      <w:r w:rsidRPr="0066567F">
        <w:t>.,</w:t>
      </w:r>
      <w:proofErr w:type="gramEnd"/>
      <w:r w:rsidRPr="0066567F">
        <w:t xml:space="preserve"> </w:t>
      </w:r>
      <w:proofErr w:type="spellStart"/>
      <w:r w:rsidRPr="0066567F">
        <w:t>Centroid</w:t>
      </w:r>
      <w:proofErr w:type="spellEnd"/>
      <w:r w:rsidRPr="0066567F">
        <w:t xml:space="preserve"> 2=Elephantine 3</w:t>
      </w:r>
      <w:r w:rsidRPr="0066567F">
        <w:rPr>
          <w:vertAlign w:val="superscript"/>
        </w:rPr>
        <w:t>rd</w:t>
      </w:r>
      <w:r w:rsidRPr="0066567F">
        <w:t>/4</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3=Elephantine 6</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4=Giza 4</w:t>
      </w:r>
      <w:r w:rsidRPr="0066567F">
        <w:rPr>
          <w:vertAlign w:val="superscript"/>
        </w:rPr>
        <w:t>th</w:t>
      </w:r>
      <w:r w:rsidRPr="0066567F">
        <w:t xml:space="preserve"> </w:t>
      </w:r>
      <w:proofErr w:type="spellStart"/>
      <w:r w:rsidRPr="0066567F">
        <w:t>Dyn</w:t>
      </w:r>
      <w:proofErr w:type="spellEnd"/>
      <w:r w:rsidRPr="0066567F">
        <w:t xml:space="preserve">. </w:t>
      </w:r>
    </w:p>
    <w:p w:rsidR="000573EF" w:rsidRPr="0066567F" w:rsidRDefault="000573EF" w:rsidP="0041298D">
      <w:pPr>
        <w:spacing w:line="480" w:lineRule="auto"/>
        <w:ind w:right="183"/>
      </w:pPr>
    </w:p>
    <w:p w:rsidR="000A4E40" w:rsidRPr="0066567F" w:rsidRDefault="000A4E40" w:rsidP="0041298D">
      <w:pPr>
        <w:spacing w:line="480" w:lineRule="auto"/>
        <w:ind w:right="183"/>
        <w:rPr>
          <w:i/>
          <w:iCs/>
        </w:rPr>
      </w:pPr>
    </w:p>
    <w:p w:rsidR="00485D29" w:rsidRDefault="00485D29" w:rsidP="0041298D">
      <w:pPr>
        <w:spacing w:line="480" w:lineRule="auto"/>
        <w:ind w:right="183"/>
        <w:rPr>
          <w:i/>
          <w:iCs/>
        </w:rPr>
      </w:pPr>
    </w:p>
    <w:p w:rsidR="00A96E62" w:rsidRPr="00485D29" w:rsidRDefault="00A96E62" w:rsidP="0041298D">
      <w:pPr>
        <w:spacing w:line="480" w:lineRule="auto"/>
        <w:ind w:right="183"/>
        <w:rPr>
          <w:iCs/>
        </w:rPr>
      </w:pPr>
      <w:r w:rsidRPr="00485D29">
        <w:rPr>
          <w:iCs/>
        </w:rPr>
        <w:lastRenderedPageBreak/>
        <w:t xml:space="preserve">Elephantine and </w:t>
      </w:r>
      <w:proofErr w:type="spellStart"/>
      <w:r w:rsidRPr="00485D29">
        <w:rPr>
          <w:iCs/>
        </w:rPr>
        <w:t>Teti</w:t>
      </w:r>
      <w:proofErr w:type="spellEnd"/>
    </w:p>
    <w:p w:rsidR="00832940" w:rsidRPr="0066567F" w:rsidRDefault="00A96E62" w:rsidP="0041298D">
      <w:pPr>
        <w:spacing w:line="480" w:lineRule="auto"/>
        <w:ind w:right="183"/>
      </w:pPr>
      <w:r w:rsidRPr="0066567F">
        <w:rPr>
          <w:i/>
          <w:iCs/>
        </w:rPr>
        <w:tab/>
      </w:r>
      <w:proofErr w:type="spellStart"/>
      <w:r w:rsidR="00832940" w:rsidRPr="0066567F">
        <w:rPr>
          <w:iCs/>
        </w:rPr>
        <w:t>Eigenvalue</w:t>
      </w:r>
      <w:proofErr w:type="spellEnd"/>
      <w:r w:rsidR="00832940" w:rsidRPr="0066567F">
        <w:rPr>
          <w:iCs/>
        </w:rPr>
        <w:t xml:space="preserve"> 1 accounts for 92.5% of </w:t>
      </w:r>
      <w:r w:rsidR="00D61E08" w:rsidRPr="0066567F">
        <w:rPr>
          <w:iCs/>
        </w:rPr>
        <w:t>the overall variance</w:t>
      </w:r>
      <w:r w:rsidR="00832940" w:rsidRPr="0066567F">
        <w:rPr>
          <w:iCs/>
        </w:rPr>
        <w:t xml:space="preserve"> (Table 2). Diameter and Azimuth C are both moderately </w:t>
      </w:r>
      <w:r w:rsidR="00CA65BF" w:rsidRPr="0066567F">
        <w:rPr>
          <w:iCs/>
        </w:rPr>
        <w:t xml:space="preserve">correlated with </w:t>
      </w:r>
      <w:proofErr w:type="spellStart"/>
      <w:r w:rsidR="00CA65BF" w:rsidRPr="0066567F">
        <w:rPr>
          <w:iCs/>
        </w:rPr>
        <w:t>discriminant</w:t>
      </w:r>
      <w:proofErr w:type="spellEnd"/>
      <w:r w:rsidR="00CA65BF" w:rsidRPr="0066567F">
        <w:rPr>
          <w:iCs/>
        </w:rPr>
        <w:t xml:space="preserve"> function</w:t>
      </w:r>
      <w:r w:rsidR="00832940" w:rsidRPr="0066567F">
        <w:rPr>
          <w:iCs/>
        </w:rPr>
        <w:t xml:space="preserve"> 1 (0.688 and 0.685).</w:t>
      </w:r>
      <w:r w:rsidRPr="0066567F">
        <w:t xml:space="preserve">This material also exhibits a similar pattern of variation to the Elephantine material in the same way the Giza material does when compared in terms of azimuth C and diameter.  There is substantial overlap between this </w:t>
      </w:r>
      <w:r w:rsidR="00832940" w:rsidRPr="0066567F">
        <w:t>6</w:t>
      </w:r>
      <w:r w:rsidR="00832940" w:rsidRPr="0066567F">
        <w:rPr>
          <w:vertAlign w:val="superscript"/>
        </w:rPr>
        <w:t>th</w:t>
      </w:r>
      <w:r w:rsidR="00832940" w:rsidRPr="0066567F">
        <w:t xml:space="preserve"> Dynasty </w:t>
      </w:r>
      <w:r w:rsidRPr="0066567F">
        <w:t>material and the 6</w:t>
      </w:r>
      <w:r w:rsidRPr="0066567F">
        <w:rPr>
          <w:vertAlign w:val="superscript"/>
        </w:rPr>
        <w:t>th</w:t>
      </w:r>
      <w:r w:rsidRPr="0066567F">
        <w:t xml:space="preserve"> Dynasty Elephantine material.  </w:t>
      </w:r>
      <w:r w:rsidR="00832940" w:rsidRPr="0066567F">
        <w:t xml:space="preserve">Figure 8 illustrates the relationship between the chronologically subdivided Elephantine material and the material from the </w:t>
      </w:r>
      <w:proofErr w:type="spellStart"/>
      <w:r w:rsidR="00832940" w:rsidRPr="0066567F">
        <w:t>Teti</w:t>
      </w:r>
      <w:proofErr w:type="spellEnd"/>
      <w:r w:rsidR="00832940" w:rsidRPr="0066567F">
        <w:t xml:space="preserve"> Pyramid. </w:t>
      </w:r>
    </w:p>
    <w:p w:rsidR="00AC124D" w:rsidRPr="0066567F" w:rsidRDefault="00AC124D" w:rsidP="0041298D">
      <w:pPr>
        <w:spacing w:line="480" w:lineRule="auto"/>
        <w:ind w:right="183"/>
      </w:pPr>
      <w:r w:rsidRPr="0066567F">
        <w:rPr>
          <w:noProof/>
        </w:rPr>
        <w:drawing>
          <wp:inline distT="0" distB="0" distL="0" distR="0">
            <wp:extent cx="5943600" cy="4486910"/>
            <wp:effectExtent l="19050" t="0" r="0" b="0"/>
            <wp:docPr id="10" name="Picture 9" descr="Figure 8 teti comparis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 teti comparison.tif"/>
                    <pic:cNvPicPr/>
                  </pic:nvPicPr>
                  <pic:blipFill>
                    <a:blip r:embed="rId15"/>
                    <a:stretch>
                      <a:fillRect/>
                    </a:stretch>
                  </pic:blipFill>
                  <pic:spPr>
                    <a:xfrm>
                      <a:off x="0" y="0"/>
                      <a:ext cx="5943600" cy="4486910"/>
                    </a:xfrm>
                    <a:prstGeom prst="rect">
                      <a:avLst/>
                    </a:prstGeom>
                  </pic:spPr>
                </pic:pic>
              </a:graphicData>
            </a:graphic>
          </wp:inline>
        </w:drawing>
      </w:r>
    </w:p>
    <w:p w:rsidR="000573EF" w:rsidRPr="0066567F" w:rsidRDefault="00A10065" w:rsidP="00A10065">
      <w:pPr>
        <w:pStyle w:val="NoSpacing"/>
      </w:pPr>
      <w:proofErr w:type="gramStart"/>
      <w:r w:rsidRPr="0066567F">
        <w:rPr>
          <w:b/>
        </w:rPr>
        <w:t xml:space="preserve">Figure </w:t>
      </w:r>
      <w:r w:rsidR="00B634FA" w:rsidRPr="0066567F">
        <w:rPr>
          <w:b/>
        </w:rPr>
        <w:t>8</w:t>
      </w:r>
      <w:r w:rsidRPr="0066567F">
        <w:rPr>
          <w:b/>
        </w:rPr>
        <w:t>.</w:t>
      </w:r>
      <w:proofErr w:type="gramEnd"/>
      <w:r w:rsidRPr="0066567F">
        <w:rPr>
          <w:b/>
        </w:rPr>
        <w:t xml:space="preserve"> </w:t>
      </w:r>
      <w:r w:rsidRPr="0066567F">
        <w:t xml:space="preserve"> Combined groups plot illustrating the relationship between </w:t>
      </w:r>
      <w:proofErr w:type="spellStart"/>
      <w:r w:rsidRPr="0066567F">
        <w:t>Meidum</w:t>
      </w:r>
      <w:proofErr w:type="spellEnd"/>
      <w:r w:rsidRPr="0066567F">
        <w:t xml:space="preserve"> bowl forms at Elephantine compared to </w:t>
      </w:r>
      <w:proofErr w:type="spellStart"/>
      <w:r w:rsidRPr="0066567F">
        <w:t>Meidum</w:t>
      </w:r>
      <w:proofErr w:type="spellEnd"/>
      <w:r w:rsidRPr="0066567F">
        <w:t xml:space="preserve"> bowl forms from </w:t>
      </w:r>
      <w:proofErr w:type="spellStart"/>
      <w:r w:rsidRPr="0066567F">
        <w:t>Teti</w:t>
      </w:r>
      <w:proofErr w:type="spellEnd"/>
      <w:r w:rsidRPr="0066567F">
        <w:t xml:space="preserve"> in canonical space.  </w:t>
      </w:r>
      <w:proofErr w:type="spellStart"/>
      <w:r w:rsidRPr="0066567F">
        <w:t>Centroid</w:t>
      </w:r>
      <w:proofErr w:type="spellEnd"/>
      <w:r w:rsidRPr="0066567F">
        <w:t xml:space="preserve"> 1 = Elephantine 2</w:t>
      </w:r>
      <w:r w:rsidRPr="0066567F">
        <w:rPr>
          <w:vertAlign w:val="superscript"/>
        </w:rPr>
        <w:t>nd</w:t>
      </w:r>
      <w:r w:rsidRPr="0066567F">
        <w:t xml:space="preserve"> </w:t>
      </w:r>
      <w:proofErr w:type="spellStart"/>
      <w:proofErr w:type="gramStart"/>
      <w:r w:rsidRPr="0066567F">
        <w:t>Dyn</w:t>
      </w:r>
      <w:proofErr w:type="spellEnd"/>
      <w:r w:rsidRPr="0066567F">
        <w:t>.,</w:t>
      </w:r>
      <w:proofErr w:type="gramEnd"/>
      <w:r w:rsidRPr="0066567F">
        <w:t xml:space="preserve"> </w:t>
      </w:r>
      <w:proofErr w:type="spellStart"/>
      <w:r w:rsidRPr="0066567F">
        <w:t>Centroid</w:t>
      </w:r>
      <w:proofErr w:type="spellEnd"/>
      <w:r w:rsidRPr="0066567F">
        <w:t xml:space="preserve"> 2=Elephantine 3</w:t>
      </w:r>
      <w:r w:rsidRPr="0066567F">
        <w:rPr>
          <w:vertAlign w:val="superscript"/>
        </w:rPr>
        <w:t>rd</w:t>
      </w:r>
      <w:r w:rsidRPr="0066567F">
        <w:t>/4</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3=Elephantine 6</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4=</w:t>
      </w:r>
      <w:proofErr w:type="spellStart"/>
      <w:r w:rsidRPr="0066567F">
        <w:t>Teti</w:t>
      </w:r>
      <w:proofErr w:type="spellEnd"/>
      <w:r w:rsidRPr="0066567F">
        <w:t xml:space="preserve"> 6</w:t>
      </w:r>
      <w:r w:rsidRPr="0066567F">
        <w:rPr>
          <w:vertAlign w:val="superscript"/>
        </w:rPr>
        <w:t>th</w:t>
      </w:r>
      <w:r w:rsidRPr="0066567F">
        <w:t xml:space="preserve"> </w:t>
      </w:r>
      <w:proofErr w:type="spellStart"/>
      <w:r w:rsidRPr="0066567F">
        <w:t>Dyn</w:t>
      </w:r>
      <w:proofErr w:type="spellEnd"/>
      <w:r w:rsidRPr="0066567F">
        <w:t>.</w:t>
      </w:r>
    </w:p>
    <w:p w:rsidR="00A10065" w:rsidRPr="0066567F" w:rsidRDefault="00A10065" w:rsidP="00A10065">
      <w:pPr>
        <w:pStyle w:val="NoSpacing"/>
      </w:pPr>
    </w:p>
    <w:p w:rsidR="00A96E62" w:rsidRPr="00485D29" w:rsidRDefault="00A96E62" w:rsidP="0041298D">
      <w:pPr>
        <w:spacing w:line="480" w:lineRule="auto"/>
        <w:ind w:right="183"/>
        <w:rPr>
          <w:iCs/>
        </w:rPr>
      </w:pPr>
      <w:r w:rsidRPr="00485D29">
        <w:rPr>
          <w:iCs/>
        </w:rPr>
        <w:t xml:space="preserve">Elephantine and </w:t>
      </w:r>
      <w:proofErr w:type="spellStart"/>
      <w:r w:rsidRPr="00485D29">
        <w:rPr>
          <w:iCs/>
        </w:rPr>
        <w:t>Kom</w:t>
      </w:r>
      <w:proofErr w:type="spellEnd"/>
      <w:r w:rsidRPr="00485D29">
        <w:rPr>
          <w:iCs/>
        </w:rPr>
        <w:t xml:space="preserve"> el-</w:t>
      </w:r>
      <w:proofErr w:type="spellStart"/>
      <w:r w:rsidRPr="00485D29">
        <w:rPr>
          <w:iCs/>
        </w:rPr>
        <w:t>Hisn</w:t>
      </w:r>
      <w:proofErr w:type="spellEnd"/>
    </w:p>
    <w:p w:rsidR="00A96E62" w:rsidRPr="0066567F" w:rsidRDefault="00A96E62" w:rsidP="0041298D">
      <w:pPr>
        <w:spacing w:line="480" w:lineRule="auto"/>
        <w:ind w:right="183"/>
      </w:pPr>
      <w:r w:rsidRPr="0066567F">
        <w:tab/>
        <w:t xml:space="preserve">Inscriptional and C14 dates indicate that </w:t>
      </w:r>
      <w:proofErr w:type="spellStart"/>
      <w:r w:rsidRPr="0066567F">
        <w:t>Kom</w:t>
      </w:r>
      <w:proofErr w:type="spellEnd"/>
      <w:r w:rsidRPr="0066567F">
        <w:t xml:space="preserve"> el-</w:t>
      </w:r>
      <w:proofErr w:type="spellStart"/>
      <w:r w:rsidRPr="0066567F">
        <w:t>Hisn</w:t>
      </w:r>
      <w:proofErr w:type="spellEnd"/>
      <w:r w:rsidRPr="0066567F">
        <w:t xml:space="preserve"> is a late 5</w:t>
      </w:r>
      <w:r w:rsidRPr="0066567F">
        <w:rPr>
          <w:vertAlign w:val="superscript"/>
        </w:rPr>
        <w:t>th</w:t>
      </w:r>
      <w:r w:rsidRPr="0066567F">
        <w:t xml:space="preserve"> / early 6</w:t>
      </w:r>
      <w:r w:rsidRPr="0066567F">
        <w:rPr>
          <w:vertAlign w:val="superscript"/>
        </w:rPr>
        <w:t>th</w:t>
      </w:r>
      <w:r w:rsidRPr="0066567F">
        <w:t xml:space="preserve"> Dynasty site. Unlike the </w:t>
      </w:r>
      <w:proofErr w:type="spellStart"/>
      <w:r w:rsidRPr="0066567F">
        <w:t>Teti</w:t>
      </w:r>
      <w:proofErr w:type="spellEnd"/>
      <w:r w:rsidRPr="0066567F">
        <w:t xml:space="preserve"> material, however, the addition of this material to the Elepha</w:t>
      </w:r>
      <w:bookmarkStart w:id="0" w:name="_GoBack"/>
      <w:bookmarkEnd w:id="0"/>
      <w:r w:rsidRPr="0066567F">
        <w:t>ntine material has a substantial impact on the component structure of the calculated dimensions</w:t>
      </w:r>
      <w:r w:rsidR="00D53133" w:rsidRPr="0066567F">
        <w:t xml:space="preserve"> (Table 3)</w:t>
      </w:r>
      <w:r w:rsidR="00D61E08" w:rsidRPr="0066567F">
        <w:t xml:space="preserve">.  </w:t>
      </w:r>
      <w:proofErr w:type="spellStart"/>
      <w:r w:rsidR="00D61E08" w:rsidRPr="0066567F">
        <w:t>Eigenvalue</w:t>
      </w:r>
      <w:proofErr w:type="spellEnd"/>
      <w:r w:rsidR="00D61E08" w:rsidRPr="0066567F">
        <w:t xml:space="preserve"> 1 accounts for 82.5% of the overall variance</w:t>
      </w:r>
      <w:r w:rsidR="00CA65BF" w:rsidRPr="0066567F">
        <w:t xml:space="preserve">. In contrast to the previous comparisons, Length A + Length B </w:t>
      </w:r>
      <w:r w:rsidR="002445AB" w:rsidRPr="0066567F">
        <w:t>(LA+LB) is</w:t>
      </w:r>
      <w:r w:rsidR="00CA65BF" w:rsidRPr="0066567F">
        <w:t xml:space="preserve"> highly </w:t>
      </w:r>
      <w:r w:rsidR="00CA65BF" w:rsidRPr="0066567F">
        <w:rPr>
          <w:b/>
        </w:rPr>
        <w:t xml:space="preserve">negatively </w:t>
      </w:r>
      <w:r w:rsidR="00CA65BF" w:rsidRPr="0066567F">
        <w:t xml:space="preserve">correlated with </w:t>
      </w:r>
      <w:proofErr w:type="spellStart"/>
      <w:r w:rsidR="00CA65BF" w:rsidRPr="0066567F">
        <w:t>discriminant</w:t>
      </w:r>
      <w:proofErr w:type="spellEnd"/>
      <w:r w:rsidR="00CA65BF" w:rsidRPr="0066567F">
        <w:t xml:space="preserve"> function 1</w:t>
      </w:r>
      <w:r w:rsidRPr="0066567F">
        <w:t xml:space="preserve"> </w:t>
      </w:r>
      <w:r w:rsidR="002445AB" w:rsidRPr="0066567F">
        <w:t xml:space="preserve">(-0.715).  Diameter is also moderately correlated with </w:t>
      </w:r>
      <w:proofErr w:type="spellStart"/>
      <w:r w:rsidR="002445AB" w:rsidRPr="0066567F">
        <w:t>disrcriminant</w:t>
      </w:r>
      <w:proofErr w:type="spellEnd"/>
      <w:r w:rsidR="002445AB" w:rsidRPr="0066567F">
        <w:t xml:space="preserve"> function 1 (0.573). </w:t>
      </w:r>
    </w:p>
    <w:p w:rsidR="00AC124D" w:rsidRPr="0066567F" w:rsidRDefault="002445AB" w:rsidP="00AC124D">
      <w:pPr>
        <w:spacing w:line="480" w:lineRule="auto"/>
        <w:ind w:right="183" w:firstLine="720"/>
      </w:pPr>
      <w:r w:rsidRPr="0066567F">
        <w:t xml:space="preserve">Because </w:t>
      </w:r>
      <w:proofErr w:type="spellStart"/>
      <w:r w:rsidRPr="0066567F">
        <w:t>discriminant</w:t>
      </w:r>
      <w:proofErr w:type="spellEnd"/>
      <w:r w:rsidRPr="0066567F">
        <w:t xml:space="preserve"> function 1 </w:t>
      </w:r>
      <w:r w:rsidR="00A96E62" w:rsidRPr="0066567F">
        <w:t xml:space="preserve">is highly correlated </w:t>
      </w:r>
      <w:r w:rsidRPr="0066567F">
        <w:t xml:space="preserve">with over all carination size, </w:t>
      </w:r>
      <w:r w:rsidR="00A96E62" w:rsidRPr="0066567F">
        <w:t xml:space="preserve">we can infer a different set of factors is constraining the variation we see in this comparison than can be seen </w:t>
      </w:r>
      <w:r w:rsidR="008711A0" w:rsidRPr="0066567F">
        <w:t xml:space="preserve">in the Giza or </w:t>
      </w:r>
      <w:proofErr w:type="spellStart"/>
      <w:r w:rsidR="008711A0" w:rsidRPr="0066567F">
        <w:t>Teti</w:t>
      </w:r>
      <w:proofErr w:type="spellEnd"/>
      <w:r w:rsidR="008711A0" w:rsidRPr="0066567F">
        <w:t xml:space="preserve"> comparisons. </w:t>
      </w:r>
      <w:r w:rsidR="00AC124D" w:rsidRPr="0066567F">
        <w:t xml:space="preserve">Figure 9 illustrates the relationship between </w:t>
      </w:r>
      <w:proofErr w:type="spellStart"/>
      <w:r w:rsidR="00AC124D" w:rsidRPr="0066567F">
        <w:t>Kom</w:t>
      </w:r>
      <w:proofErr w:type="spellEnd"/>
      <w:r w:rsidR="00AC124D" w:rsidRPr="0066567F">
        <w:t xml:space="preserve"> el-</w:t>
      </w:r>
      <w:proofErr w:type="spellStart"/>
      <w:r w:rsidR="00AC124D" w:rsidRPr="0066567F">
        <w:t>Hisn</w:t>
      </w:r>
      <w:proofErr w:type="spellEnd"/>
      <w:r w:rsidR="00AC124D" w:rsidRPr="0066567F">
        <w:t xml:space="preserve"> and the Elephantine assemblages in canonical space. </w:t>
      </w:r>
    </w:p>
    <w:p w:rsidR="002B6CEA" w:rsidRPr="0066567F" w:rsidRDefault="002B6CEA" w:rsidP="002B6CEA">
      <w:r w:rsidRPr="0066567F">
        <w:t xml:space="preserve">Table 3:  </w:t>
      </w:r>
      <w:r w:rsidR="00C07B43" w:rsidRPr="0066567F">
        <w:t>Results of DFA analyses for</w:t>
      </w:r>
      <w:r w:rsidR="007105FD" w:rsidRPr="0066567F">
        <w:t xml:space="preserve"> comparisons of the Elephantine and </w:t>
      </w:r>
      <w:proofErr w:type="spellStart"/>
      <w:r w:rsidR="007105FD" w:rsidRPr="0066567F">
        <w:t>Kom</w:t>
      </w:r>
      <w:proofErr w:type="spellEnd"/>
      <w:r w:rsidR="007105FD" w:rsidRPr="0066567F">
        <w:t xml:space="preserve"> el-</w:t>
      </w:r>
      <w:proofErr w:type="spellStart"/>
      <w:r w:rsidR="007105FD" w:rsidRPr="0066567F">
        <w:t>Hisn</w:t>
      </w:r>
      <w:proofErr w:type="spellEnd"/>
      <w:r w:rsidR="007105FD" w:rsidRPr="0066567F">
        <w:t xml:space="preserve"> assemblages</w:t>
      </w:r>
    </w:p>
    <w:p w:rsidR="002B6CEA" w:rsidRPr="0066567F" w:rsidRDefault="002B6CEA" w:rsidP="002B6CEA"/>
    <w:p w:rsidR="002B6CEA" w:rsidRPr="009E403D" w:rsidRDefault="002B6CEA" w:rsidP="002B6CEA">
      <w:pPr>
        <w:rPr>
          <w:b/>
          <w:sz w:val="22"/>
          <w:szCs w:val="22"/>
        </w:rPr>
      </w:pPr>
      <w:proofErr w:type="spellStart"/>
      <w:r w:rsidRPr="009E403D">
        <w:rPr>
          <w:b/>
          <w:sz w:val="22"/>
          <w:szCs w:val="22"/>
        </w:rPr>
        <w:t>Dyn</w:t>
      </w:r>
      <w:proofErr w:type="spellEnd"/>
      <w:r w:rsidRPr="009E403D">
        <w:rPr>
          <w:b/>
          <w:sz w:val="22"/>
          <w:szCs w:val="22"/>
        </w:rPr>
        <w:t>/Loc.</w:t>
      </w:r>
      <w:r w:rsidRPr="009E403D">
        <w:rPr>
          <w:b/>
          <w:sz w:val="22"/>
          <w:szCs w:val="22"/>
        </w:rPr>
        <w:tab/>
        <w:t>N</w:t>
      </w:r>
      <w:r w:rsidRPr="009E403D">
        <w:rPr>
          <w:b/>
          <w:sz w:val="22"/>
          <w:szCs w:val="22"/>
        </w:rPr>
        <w:tab/>
      </w:r>
      <w:proofErr w:type="spellStart"/>
      <w:r w:rsidRPr="009E403D">
        <w:rPr>
          <w:b/>
          <w:sz w:val="22"/>
          <w:szCs w:val="22"/>
        </w:rPr>
        <w:t>Eigenvalue</w:t>
      </w:r>
      <w:proofErr w:type="spellEnd"/>
      <w:r w:rsidRPr="009E403D">
        <w:rPr>
          <w:b/>
          <w:sz w:val="22"/>
          <w:szCs w:val="22"/>
        </w:rPr>
        <w:t xml:space="preserve"> 1 % variance </w:t>
      </w:r>
    </w:p>
    <w:p w:rsidR="002B6CEA" w:rsidRPr="009E403D" w:rsidRDefault="002B6CEA" w:rsidP="00A65986">
      <w:pPr>
        <w:ind w:left="5760" w:hanging="3600"/>
        <w:rPr>
          <w:b/>
          <w:sz w:val="22"/>
          <w:szCs w:val="22"/>
        </w:rPr>
      </w:pPr>
      <w:proofErr w:type="gramStart"/>
      <w:r w:rsidRPr="009E403D">
        <w:rPr>
          <w:b/>
          <w:sz w:val="22"/>
          <w:szCs w:val="22"/>
        </w:rPr>
        <w:t>accounted</w:t>
      </w:r>
      <w:proofErr w:type="gramEnd"/>
      <w:r w:rsidRPr="009E403D">
        <w:rPr>
          <w:b/>
          <w:sz w:val="22"/>
          <w:szCs w:val="22"/>
        </w:rPr>
        <w:t xml:space="preserve"> for</w:t>
      </w:r>
      <w:r w:rsidRPr="009E403D">
        <w:rPr>
          <w:b/>
          <w:sz w:val="22"/>
          <w:szCs w:val="22"/>
        </w:rPr>
        <w:tab/>
      </w:r>
      <w:r w:rsidRPr="009E403D">
        <w:rPr>
          <w:b/>
          <w:sz w:val="22"/>
          <w:szCs w:val="22"/>
        </w:rPr>
        <w:tab/>
        <w:t>Attributes with highest correlation to DF1</w:t>
      </w:r>
    </w:p>
    <w:p w:rsidR="002B6CEA" w:rsidRPr="009E403D" w:rsidRDefault="002B6CEA" w:rsidP="002B6CEA">
      <w:pPr>
        <w:rPr>
          <w:i/>
          <w:sz w:val="22"/>
          <w:szCs w:val="22"/>
        </w:rPr>
      </w:pPr>
    </w:p>
    <w:p w:rsidR="002B6CEA" w:rsidRPr="009E403D" w:rsidRDefault="002B6CEA" w:rsidP="002B6CEA">
      <w:pPr>
        <w:rPr>
          <w:i/>
          <w:sz w:val="22"/>
          <w:szCs w:val="22"/>
        </w:rPr>
      </w:pPr>
      <w:r w:rsidRPr="009E403D">
        <w:rPr>
          <w:i/>
          <w:sz w:val="22"/>
          <w:szCs w:val="22"/>
        </w:rPr>
        <w:t xml:space="preserve">Elephantine/ </w:t>
      </w:r>
      <w:proofErr w:type="spellStart"/>
      <w:r w:rsidRPr="009E403D">
        <w:rPr>
          <w:i/>
          <w:sz w:val="22"/>
          <w:szCs w:val="22"/>
        </w:rPr>
        <w:t>Kom</w:t>
      </w:r>
      <w:proofErr w:type="spellEnd"/>
      <w:r w:rsidRPr="009E403D">
        <w:rPr>
          <w:i/>
          <w:sz w:val="22"/>
          <w:szCs w:val="22"/>
        </w:rPr>
        <w:t xml:space="preserve"> el-</w:t>
      </w:r>
      <w:proofErr w:type="spellStart"/>
      <w:r w:rsidRPr="009E403D">
        <w:rPr>
          <w:i/>
          <w:sz w:val="22"/>
          <w:szCs w:val="22"/>
        </w:rPr>
        <w:t>Hisn</w:t>
      </w:r>
      <w:proofErr w:type="spellEnd"/>
    </w:p>
    <w:p w:rsidR="002B6CEA" w:rsidRPr="009E403D" w:rsidRDefault="002B6CEA" w:rsidP="002B6CEA">
      <w:pPr>
        <w:rPr>
          <w:sz w:val="22"/>
          <w:szCs w:val="22"/>
        </w:rPr>
      </w:pPr>
      <w:proofErr w:type="spellStart"/>
      <w:r w:rsidRPr="009E403D">
        <w:rPr>
          <w:sz w:val="22"/>
          <w:szCs w:val="22"/>
        </w:rPr>
        <w:t>Ele</w:t>
      </w:r>
      <w:proofErr w:type="spellEnd"/>
      <w:r w:rsidRPr="009E403D">
        <w:rPr>
          <w:sz w:val="22"/>
          <w:szCs w:val="22"/>
        </w:rPr>
        <w:t xml:space="preserve"> 2</w:t>
      </w:r>
      <w:r w:rsidRPr="009E403D">
        <w:rPr>
          <w:sz w:val="22"/>
          <w:szCs w:val="22"/>
          <w:vertAlign w:val="superscript"/>
        </w:rPr>
        <w:t>nd</w:t>
      </w:r>
      <w:r w:rsidRPr="009E403D">
        <w:rPr>
          <w:sz w:val="22"/>
          <w:szCs w:val="22"/>
        </w:rPr>
        <w:t xml:space="preserve"> </w:t>
      </w:r>
      <w:r w:rsidRPr="009E403D">
        <w:rPr>
          <w:sz w:val="22"/>
          <w:szCs w:val="22"/>
        </w:rPr>
        <w:tab/>
      </w:r>
      <w:r w:rsidRPr="009E403D">
        <w:rPr>
          <w:sz w:val="22"/>
          <w:szCs w:val="22"/>
        </w:rPr>
        <w:tab/>
        <w:t>10</w:t>
      </w:r>
      <w:r w:rsidRPr="009E403D">
        <w:rPr>
          <w:sz w:val="22"/>
          <w:szCs w:val="22"/>
        </w:rPr>
        <w:tab/>
      </w:r>
      <w:r w:rsidRPr="009E403D">
        <w:rPr>
          <w:sz w:val="22"/>
          <w:szCs w:val="22"/>
        </w:rPr>
        <w:tab/>
      </w:r>
      <w:r w:rsidRPr="009E403D">
        <w:rPr>
          <w:sz w:val="22"/>
          <w:szCs w:val="22"/>
        </w:rPr>
        <w:tab/>
      </w:r>
      <w:r w:rsidRPr="009E403D">
        <w:rPr>
          <w:sz w:val="22"/>
          <w:szCs w:val="22"/>
        </w:rPr>
        <w:tab/>
        <w:t>82.5</w:t>
      </w:r>
      <w:r w:rsidRPr="009E403D">
        <w:rPr>
          <w:sz w:val="22"/>
          <w:szCs w:val="22"/>
        </w:rPr>
        <w:tab/>
      </w:r>
      <w:r w:rsidRPr="009E403D">
        <w:rPr>
          <w:sz w:val="22"/>
          <w:szCs w:val="22"/>
        </w:rPr>
        <w:tab/>
        <w:t xml:space="preserve">LA+LB, </w:t>
      </w:r>
      <w:r w:rsidRPr="009E403D">
        <w:rPr>
          <w:b/>
          <w:sz w:val="22"/>
          <w:szCs w:val="22"/>
        </w:rPr>
        <w:t>-0.715</w:t>
      </w:r>
      <w:proofErr w:type="gramStart"/>
      <w:r w:rsidRPr="009E403D">
        <w:rPr>
          <w:b/>
          <w:sz w:val="22"/>
          <w:szCs w:val="22"/>
        </w:rPr>
        <w:t xml:space="preserve">,  </w:t>
      </w:r>
      <w:r w:rsidRPr="009E403D">
        <w:rPr>
          <w:sz w:val="22"/>
          <w:szCs w:val="22"/>
        </w:rPr>
        <w:t>Diameter</w:t>
      </w:r>
      <w:proofErr w:type="gramEnd"/>
      <w:r w:rsidRPr="009E403D">
        <w:rPr>
          <w:sz w:val="22"/>
          <w:szCs w:val="22"/>
        </w:rPr>
        <w:t>, 0.573</w:t>
      </w:r>
    </w:p>
    <w:p w:rsidR="002B6CEA" w:rsidRPr="009E403D" w:rsidRDefault="002B6CEA" w:rsidP="002B6CEA">
      <w:pPr>
        <w:rPr>
          <w:sz w:val="22"/>
          <w:szCs w:val="22"/>
        </w:rPr>
      </w:pPr>
      <w:proofErr w:type="spellStart"/>
      <w:r w:rsidRPr="009E403D">
        <w:rPr>
          <w:sz w:val="22"/>
          <w:szCs w:val="22"/>
        </w:rPr>
        <w:t>Ele</w:t>
      </w:r>
      <w:proofErr w:type="spellEnd"/>
      <w:r w:rsidRPr="009E403D">
        <w:rPr>
          <w:sz w:val="22"/>
          <w:szCs w:val="22"/>
        </w:rPr>
        <w:t xml:space="preserve"> 3</w:t>
      </w:r>
      <w:r w:rsidRPr="009E403D">
        <w:rPr>
          <w:sz w:val="22"/>
          <w:szCs w:val="22"/>
          <w:vertAlign w:val="superscript"/>
        </w:rPr>
        <w:t>rd</w:t>
      </w:r>
      <w:r w:rsidRPr="009E403D">
        <w:rPr>
          <w:sz w:val="22"/>
          <w:szCs w:val="22"/>
        </w:rPr>
        <w:t>/4</w:t>
      </w:r>
      <w:r w:rsidRPr="009E403D">
        <w:rPr>
          <w:sz w:val="22"/>
          <w:szCs w:val="22"/>
          <w:vertAlign w:val="superscript"/>
        </w:rPr>
        <w:t>th</w:t>
      </w:r>
      <w:r w:rsidRPr="009E403D">
        <w:rPr>
          <w:sz w:val="22"/>
          <w:szCs w:val="22"/>
        </w:rPr>
        <w:t xml:space="preserve"> </w:t>
      </w:r>
      <w:r w:rsidRPr="009E403D">
        <w:rPr>
          <w:sz w:val="22"/>
          <w:szCs w:val="22"/>
        </w:rPr>
        <w:tab/>
        <w:t>20</w:t>
      </w:r>
    </w:p>
    <w:p w:rsidR="002B6CEA" w:rsidRPr="009E403D" w:rsidRDefault="002B6CEA" w:rsidP="002B6CEA">
      <w:pPr>
        <w:rPr>
          <w:sz w:val="22"/>
          <w:szCs w:val="22"/>
        </w:rPr>
      </w:pPr>
      <w:proofErr w:type="spellStart"/>
      <w:r w:rsidRPr="009E403D">
        <w:rPr>
          <w:sz w:val="22"/>
          <w:szCs w:val="22"/>
        </w:rPr>
        <w:t>Ele</w:t>
      </w:r>
      <w:proofErr w:type="spellEnd"/>
      <w:r w:rsidRPr="009E403D">
        <w:rPr>
          <w:sz w:val="22"/>
          <w:szCs w:val="22"/>
        </w:rPr>
        <w:t xml:space="preserve"> 6</w:t>
      </w:r>
      <w:r w:rsidRPr="009E403D">
        <w:rPr>
          <w:sz w:val="22"/>
          <w:szCs w:val="22"/>
          <w:vertAlign w:val="superscript"/>
        </w:rPr>
        <w:t>th</w:t>
      </w:r>
      <w:r w:rsidRPr="009E403D">
        <w:rPr>
          <w:sz w:val="22"/>
          <w:szCs w:val="22"/>
        </w:rPr>
        <w:t xml:space="preserve"> </w:t>
      </w:r>
      <w:r w:rsidRPr="009E403D">
        <w:rPr>
          <w:sz w:val="22"/>
          <w:szCs w:val="22"/>
        </w:rPr>
        <w:tab/>
      </w:r>
      <w:r w:rsidRPr="009E403D">
        <w:rPr>
          <w:sz w:val="22"/>
          <w:szCs w:val="22"/>
        </w:rPr>
        <w:tab/>
        <w:t xml:space="preserve">  6</w:t>
      </w:r>
    </w:p>
    <w:p w:rsidR="002B6CEA" w:rsidRPr="009E403D" w:rsidRDefault="002B6CEA" w:rsidP="002B6CEA">
      <w:pPr>
        <w:rPr>
          <w:sz w:val="22"/>
          <w:szCs w:val="22"/>
        </w:rPr>
      </w:pPr>
      <w:proofErr w:type="spellStart"/>
      <w:r w:rsidRPr="009E403D">
        <w:rPr>
          <w:sz w:val="22"/>
          <w:szCs w:val="22"/>
        </w:rPr>
        <w:t>Kom</w:t>
      </w:r>
      <w:proofErr w:type="spellEnd"/>
      <w:r w:rsidRPr="009E403D">
        <w:rPr>
          <w:sz w:val="22"/>
          <w:szCs w:val="22"/>
        </w:rPr>
        <w:t xml:space="preserve"> el-</w:t>
      </w:r>
      <w:proofErr w:type="spellStart"/>
      <w:r w:rsidRPr="009E403D">
        <w:rPr>
          <w:sz w:val="22"/>
          <w:szCs w:val="22"/>
        </w:rPr>
        <w:t>Hisn</w:t>
      </w:r>
      <w:proofErr w:type="spellEnd"/>
      <w:r w:rsidRPr="009E403D">
        <w:rPr>
          <w:sz w:val="22"/>
          <w:szCs w:val="22"/>
        </w:rPr>
        <w:t xml:space="preserve">      214</w:t>
      </w:r>
    </w:p>
    <w:p w:rsidR="002B6CEA" w:rsidRPr="009E403D" w:rsidRDefault="002B6CEA" w:rsidP="002B6CEA">
      <w:pPr>
        <w:rPr>
          <w:sz w:val="22"/>
          <w:szCs w:val="22"/>
        </w:rPr>
      </w:pPr>
    </w:p>
    <w:p w:rsidR="002B6CEA" w:rsidRPr="009E403D" w:rsidRDefault="002B6CEA" w:rsidP="002B6CEA">
      <w:pPr>
        <w:rPr>
          <w:sz w:val="22"/>
          <w:szCs w:val="22"/>
        </w:rPr>
      </w:pPr>
    </w:p>
    <w:p w:rsidR="002B6CEA" w:rsidRPr="009E403D" w:rsidRDefault="002B6CEA" w:rsidP="002B6CEA">
      <w:pPr>
        <w:rPr>
          <w:b/>
          <w:sz w:val="22"/>
          <w:szCs w:val="22"/>
        </w:rPr>
      </w:pPr>
      <w:r w:rsidRPr="009E403D">
        <w:rPr>
          <w:b/>
          <w:sz w:val="22"/>
          <w:szCs w:val="22"/>
        </w:rPr>
        <w:t>Attribute with highest correlation to DF2</w:t>
      </w:r>
    </w:p>
    <w:p w:rsidR="002B6CEA" w:rsidRPr="009E403D" w:rsidRDefault="002B6CEA" w:rsidP="002B6CEA">
      <w:pPr>
        <w:rPr>
          <w:b/>
          <w:sz w:val="22"/>
          <w:szCs w:val="22"/>
        </w:rPr>
      </w:pPr>
    </w:p>
    <w:p w:rsidR="002B6CEA" w:rsidRPr="009E403D" w:rsidRDefault="002B6CEA" w:rsidP="002B6CEA">
      <w:pPr>
        <w:rPr>
          <w:sz w:val="22"/>
          <w:szCs w:val="22"/>
        </w:rPr>
      </w:pPr>
      <w:r w:rsidRPr="009E403D">
        <w:rPr>
          <w:sz w:val="22"/>
          <w:szCs w:val="22"/>
        </w:rPr>
        <w:t>Azimuth C, 0.610</w:t>
      </w:r>
    </w:p>
    <w:p w:rsidR="002B6CEA" w:rsidRPr="006A3E0B" w:rsidRDefault="002B6CEA" w:rsidP="002B6CEA">
      <w:pPr>
        <w:spacing w:line="480" w:lineRule="auto"/>
        <w:ind w:right="183"/>
        <w:rPr>
          <w:color w:val="FF0000"/>
        </w:rPr>
      </w:pPr>
    </w:p>
    <w:p w:rsidR="00AC124D" w:rsidRPr="0066567F" w:rsidRDefault="002B6CEA" w:rsidP="00AC124D">
      <w:pPr>
        <w:spacing w:line="480" w:lineRule="auto"/>
        <w:ind w:right="183"/>
      </w:pPr>
      <w:r w:rsidRPr="0066567F">
        <w:rPr>
          <w:noProof/>
        </w:rPr>
        <w:lastRenderedPageBreak/>
        <w:drawing>
          <wp:inline distT="0" distB="0" distL="0" distR="0">
            <wp:extent cx="5943600" cy="4459605"/>
            <wp:effectExtent l="19050" t="0" r="0" b="0"/>
            <wp:docPr id="12" name="Picture 11" descr="figure 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tif"/>
                    <pic:cNvPicPr/>
                  </pic:nvPicPr>
                  <pic:blipFill>
                    <a:blip r:embed="rId16"/>
                    <a:stretch>
                      <a:fillRect/>
                    </a:stretch>
                  </pic:blipFill>
                  <pic:spPr>
                    <a:xfrm>
                      <a:off x="0" y="0"/>
                      <a:ext cx="5943600" cy="4459605"/>
                    </a:xfrm>
                    <a:prstGeom prst="rect">
                      <a:avLst/>
                    </a:prstGeom>
                  </pic:spPr>
                </pic:pic>
              </a:graphicData>
            </a:graphic>
          </wp:inline>
        </w:drawing>
      </w:r>
    </w:p>
    <w:p w:rsidR="00C920AB" w:rsidRPr="0066567F" w:rsidRDefault="00C920AB" w:rsidP="00C920AB">
      <w:pPr>
        <w:pStyle w:val="NoSpacing"/>
      </w:pPr>
      <w:proofErr w:type="gramStart"/>
      <w:r w:rsidRPr="0066567F">
        <w:rPr>
          <w:b/>
        </w:rPr>
        <w:t>Figure 9.</w:t>
      </w:r>
      <w:proofErr w:type="gramEnd"/>
      <w:r w:rsidRPr="0066567F">
        <w:rPr>
          <w:b/>
        </w:rPr>
        <w:t xml:space="preserve"> </w:t>
      </w:r>
      <w:r w:rsidRPr="0066567F">
        <w:t xml:space="preserve"> Combined groups plot illustrating the relationship between </w:t>
      </w:r>
      <w:proofErr w:type="spellStart"/>
      <w:r w:rsidRPr="0066567F">
        <w:t>Meidum</w:t>
      </w:r>
      <w:proofErr w:type="spellEnd"/>
      <w:r w:rsidRPr="0066567F">
        <w:t xml:space="preserve"> bowl forms at Elephantine compared to bowl forms from </w:t>
      </w:r>
      <w:proofErr w:type="spellStart"/>
      <w:r w:rsidRPr="0066567F">
        <w:t>Kom</w:t>
      </w:r>
      <w:proofErr w:type="spellEnd"/>
      <w:r w:rsidRPr="0066567F">
        <w:t xml:space="preserve"> el-</w:t>
      </w:r>
      <w:proofErr w:type="spellStart"/>
      <w:r w:rsidRPr="0066567F">
        <w:t>Hisn</w:t>
      </w:r>
      <w:proofErr w:type="spellEnd"/>
      <w:r w:rsidRPr="0066567F">
        <w:t xml:space="preserve"> in canonical space. </w:t>
      </w:r>
      <w:proofErr w:type="spellStart"/>
      <w:r w:rsidRPr="0066567F">
        <w:t>Centroid</w:t>
      </w:r>
      <w:proofErr w:type="spellEnd"/>
      <w:r w:rsidRPr="0066567F">
        <w:t xml:space="preserve"> 1 = Elephantine 2</w:t>
      </w:r>
      <w:r w:rsidRPr="0066567F">
        <w:rPr>
          <w:vertAlign w:val="superscript"/>
        </w:rPr>
        <w:t>nd</w:t>
      </w:r>
      <w:r w:rsidRPr="0066567F">
        <w:t xml:space="preserve"> </w:t>
      </w:r>
      <w:proofErr w:type="spellStart"/>
      <w:proofErr w:type="gramStart"/>
      <w:r w:rsidRPr="0066567F">
        <w:t>Dyn</w:t>
      </w:r>
      <w:proofErr w:type="spellEnd"/>
      <w:r w:rsidRPr="0066567F">
        <w:t>.,</w:t>
      </w:r>
      <w:proofErr w:type="gramEnd"/>
      <w:r w:rsidRPr="0066567F">
        <w:t xml:space="preserve"> </w:t>
      </w:r>
      <w:proofErr w:type="spellStart"/>
      <w:r w:rsidRPr="0066567F">
        <w:t>Centroid</w:t>
      </w:r>
      <w:proofErr w:type="spellEnd"/>
      <w:r w:rsidRPr="0066567F">
        <w:t xml:space="preserve"> 2=Elephantine 3</w:t>
      </w:r>
      <w:r w:rsidRPr="0066567F">
        <w:rPr>
          <w:vertAlign w:val="superscript"/>
        </w:rPr>
        <w:t>rd</w:t>
      </w:r>
      <w:r w:rsidRPr="0066567F">
        <w:t>/4</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3=Elephantine 6</w:t>
      </w:r>
      <w:r w:rsidRPr="0066567F">
        <w:rPr>
          <w:vertAlign w:val="superscript"/>
        </w:rPr>
        <w:t>th</w:t>
      </w:r>
      <w:r w:rsidRPr="0066567F">
        <w:t xml:space="preserve"> </w:t>
      </w:r>
      <w:proofErr w:type="spellStart"/>
      <w:r w:rsidRPr="0066567F">
        <w:t>Dyn</w:t>
      </w:r>
      <w:proofErr w:type="spellEnd"/>
      <w:r w:rsidRPr="0066567F">
        <w:t xml:space="preserve">., </w:t>
      </w:r>
      <w:proofErr w:type="spellStart"/>
      <w:r w:rsidRPr="0066567F">
        <w:t>Centroid</w:t>
      </w:r>
      <w:proofErr w:type="spellEnd"/>
      <w:r w:rsidRPr="0066567F">
        <w:t xml:space="preserve"> 4=</w:t>
      </w:r>
      <w:proofErr w:type="spellStart"/>
      <w:r w:rsidRPr="0066567F">
        <w:t>Kom</w:t>
      </w:r>
      <w:proofErr w:type="spellEnd"/>
      <w:r w:rsidRPr="0066567F">
        <w:t xml:space="preserve"> el-</w:t>
      </w:r>
      <w:proofErr w:type="spellStart"/>
      <w:r w:rsidRPr="0066567F">
        <w:t>Hisn</w:t>
      </w:r>
      <w:proofErr w:type="spellEnd"/>
      <w:r w:rsidRPr="0066567F">
        <w:t xml:space="preserve"> 6</w:t>
      </w:r>
      <w:r w:rsidRPr="0066567F">
        <w:rPr>
          <w:vertAlign w:val="superscript"/>
        </w:rPr>
        <w:t>th</w:t>
      </w:r>
      <w:r w:rsidRPr="0066567F">
        <w:t xml:space="preserve"> </w:t>
      </w:r>
      <w:proofErr w:type="spellStart"/>
      <w:r w:rsidRPr="0066567F">
        <w:t>Dyn</w:t>
      </w:r>
      <w:proofErr w:type="spellEnd"/>
      <w:r w:rsidRPr="0066567F">
        <w:t>.</w:t>
      </w:r>
    </w:p>
    <w:p w:rsidR="00C920AB" w:rsidRPr="0066567F" w:rsidRDefault="00C920AB" w:rsidP="00C920AB">
      <w:pPr>
        <w:pStyle w:val="NoSpacing"/>
      </w:pPr>
    </w:p>
    <w:p w:rsidR="002445AB" w:rsidRPr="0066567F" w:rsidRDefault="002445AB" w:rsidP="0041298D">
      <w:pPr>
        <w:spacing w:line="480" w:lineRule="auto"/>
        <w:ind w:right="183"/>
        <w:rPr>
          <w:i/>
          <w:iCs/>
        </w:rPr>
      </w:pPr>
    </w:p>
    <w:p w:rsidR="002445AB" w:rsidRPr="0066567F" w:rsidRDefault="002445AB" w:rsidP="002445AB">
      <w:pPr>
        <w:spacing w:line="480" w:lineRule="auto"/>
        <w:ind w:right="183"/>
        <w:jc w:val="center"/>
        <w:rPr>
          <w:b/>
          <w:iCs/>
        </w:rPr>
      </w:pPr>
      <w:r w:rsidRPr="0066567F">
        <w:rPr>
          <w:b/>
          <w:iCs/>
        </w:rPr>
        <w:t>Conclusions</w:t>
      </w:r>
    </w:p>
    <w:p w:rsidR="003A42E7" w:rsidRDefault="00A96E62" w:rsidP="009E403D">
      <w:pPr>
        <w:spacing w:line="480" w:lineRule="auto"/>
        <w:ind w:right="183"/>
      </w:pPr>
      <w:r w:rsidRPr="0066567F">
        <w:tab/>
      </w:r>
      <w:r w:rsidR="009E403D">
        <w:t xml:space="preserve">The results of this study suggest that there are differing degrees of interaction between Old Kingdom communities; communities connected to the Egyptian state exhibit extra-local similarity. </w:t>
      </w:r>
      <w:proofErr w:type="spellStart"/>
      <w:r w:rsidR="009E403D">
        <w:t>Kom</w:t>
      </w:r>
      <w:proofErr w:type="spellEnd"/>
      <w:r w:rsidR="009E403D">
        <w:t xml:space="preserve"> el-</w:t>
      </w:r>
      <w:proofErr w:type="spellStart"/>
      <w:r w:rsidR="009E403D">
        <w:t>Hisn</w:t>
      </w:r>
      <w:proofErr w:type="spellEnd"/>
      <w:r w:rsidR="009E403D">
        <w:t xml:space="preserve">, in contrast, is presumed to be less connected to the Egyptian state, and the characteristics of </w:t>
      </w:r>
      <w:proofErr w:type="spellStart"/>
      <w:r w:rsidR="009E403D">
        <w:t>Meidum</w:t>
      </w:r>
      <w:proofErr w:type="spellEnd"/>
      <w:r w:rsidR="009E403D">
        <w:t xml:space="preserve"> bowls from </w:t>
      </w:r>
      <w:proofErr w:type="spellStart"/>
      <w:r w:rsidR="009E403D">
        <w:t>Kom</w:t>
      </w:r>
      <w:proofErr w:type="spellEnd"/>
      <w:r w:rsidR="009E403D">
        <w:t xml:space="preserve"> el-</w:t>
      </w:r>
      <w:proofErr w:type="spellStart"/>
      <w:r w:rsidR="009E403D">
        <w:t>Hisn</w:t>
      </w:r>
      <w:proofErr w:type="spellEnd"/>
      <w:r w:rsidR="009E403D">
        <w:t xml:space="preserve"> reflect that. </w:t>
      </w:r>
      <w:r w:rsidRPr="0066567F">
        <w:t xml:space="preserve"> The notion of differing scales of interaction is not new to the literature of complexity.  In fact, the results of this analysis are consistent with Trigger’s characterization (1993)</w:t>
      </w:r>
      <w:r w:rsidRPr="0066567F">
        <w:rPr>
          <w:b/>
        </w:rPr>
        <w:t xml:space="preserve"> </w:t>
      </w:r>
      <w:r w:rsidRPr="0066567F">
        <w:t xml:space="preserve">of a “territorial state.”  Typical of </w:t>
      </w:r>
      <w:r w:rsidRPr="0066567F">
        <w:lastRenderedPageBreak/>
        <w:t xml:space="preserve">this conception is the existence of a two-tiered economy, wherein farmers, such as those individuals living in </w:t>
      </w:r>
      <w:r w:rsidR="00FD6886">
        <w:t xml:space="preserve">more </w:t>
      </w:r>
      <w:r w:rsidRPr="0066567F">
        <w:t xml:space="preserve">self-sufficient </w:t>
      </w:r>
      <w:r w:rsidR="00FD6886">
        <w:t xml:space="preserve">communities (those less dependent on the royal stores for support) </w:t>
      </w:r>
      <w:r w:rsidRPr="0066567F">
        <w:t xml:space="preserve">participate primarily in a local economy.  The primary interaction </w:t>
      </w:r>
      <w:r w:rsidR="00FD6886">
        <w:t>between the rural areas of the state</w:t>
      </w:r>
      <w:r w:rsidRPr="0066567F">
        <w:t xml:space="preserve"> is in the form of tax collection (Trigger 1993:11).  Cagle (2001) and </w:t>
      </w:r>
      <w:proofErr w:type="spellStart"/>
      <w:r w:rsidRPr="0066567F">
        <w:t>Wenke</w:t>
      </w:r>
      <w:proofErr w:type="spellEnd"/>
      <w:r w:rsidRPr="0066567F">
        <w:t xml:space="preserve"> et al. (1988)</w:t>
      </w:r>
      <w:r w:rsidRPr="0066567F">
        <w:rPr>
          <w:b/>
        </w:rPr>
        <w:t xml:space="preserve"> </w:t>
      </w:r>
      <w:r w:rsidRPr="0066567F">
        <w:t xml:space="preserve">both discuss </w:t>
      </w:r>
      <w:proofErr w:type="spellStart"/>
      <w:r w:rsidRPr="0066567F">
        <w:t>Kom</w:t>
      </w:r>
      <w:proofErr w:type="spellEnd"/>
      <w:r w:rsidRPr="0066567F">
        <w:t xml:space="preserve"> el-</w:t>
      </w:r>
      <w:proofErr w:type="spellStart"/>
      <w:r w:rsidRPr="0066567F">
        <w:t>Hisn</w:t>
      </w:r>
      <w:proofErr w:type="spellEnd"/>
      <w:r w:rsidRPr="0066567F">
        <w:t xml:space="preserve"> as being semi integrated with regard to the larger Egyptian state, however.  Given the transmission model presented here, </w:t>
      </w:r>
      <w:proofErr w:type="spellStart"/>
      <w:r w:rsidRPr="0066567F">
        <w:t>Kom</w:t>
      </w:r>
      <w:proofErr w:type="spellEnd"/>
      <w:r w:rsidRPr="0066567F">
        <w:t xml:space="preserve"> el-</w:t>
      </w:r>
      <w:proofErr w:type="spellStart"/>
      <w:r w:rsidRPr="0066567F">
        <w:t>Hisn’s</w:t>
      </w:r>
      <w:proofErr w:type="spellEnd"/>
      <w:r w:rsidRPr="0066567F">
        <w:t xml:space="preserve"> somewhat anomalous assemblage is not surprising as the site is located in a relatively productive part of Egypt and thus, whi</w:t>
      </w:r>
      <w:r w:rsidR="00FD6886">
        <w:t>le apparently connected to the state</w:t>
      </w:r>
      <w:r w:rsidRPr="0066567F">
        <w:t xml:space="preserve"> to some degree, observable similarities in pottery manufacture indicating regular interaction are less pronounced.  </w:t>
      </w:r>
    </w:p>
    <w:p w:rsidR="00DE2653" w:rsidRDefault="00DE2653" w:rsidP="003A42E7">
      <w:pPr>
        <w:spacing w:line="480" w:lineRule="auto"/>
        <w:ind w:right="126" w:firstLine="720"/>
      </w:pPr>
      <w:r>
        <w:t>The realization that standard Old Kingdom types have great potential for studying community interaction is perhaps as important as describing</w:t>
      </w:r>
      <w:r w:rsidR="003A42E7">
        <w:t xml:space="preserve"> the difference between the </w:t>
      </w:r>
      <w:proofErr w:type="spellStart"/>
      <w:r w:rsidR="003A42E7">
        <w:t>Kom</w:t>
      </w:r>
      <w:proofErr w:type="spellEnd"/>
      <w:r w:rsidR="003A42E7">
        <w:t xml:space="preserve"> el-</w:t>
      </w:r>
      <w:proofErr w:type="spellStart"/>
      <w:r w:rsidR="003A42E7">
        <w:t>Hisn</w:t>
      </w:r>
      <w:proofErr w:type="spellEnd"/>
      <w:r w:rsidR="003A42E7">
        <w:t xml:space="preserve"> </w:t>
      </w:r>
      <w:proofErr w:type="spellStart"/>
      <w:r w:rsidR="003A42E7">
        <w:t>Meidum</w:t>
      </w:r>
      <w:proofErr w:type="spellEnd"/>
      <w:r w:rsidR="003A42E7">
        <w:t xml:space="preserve"> bowls relative to </w:t>
      </w:r>
      <w:r>
        <w:t xml:space="preserve">those in </w:t>
      </w:r>
      <w:r w:rsidR="003A42E7">
        <w:t>other assemblage</w:t>
      </w:r>
      <w:r>
        <w:t>s</w:t>
      </w:r>
      <w:r w:rsidR="003A42E7">
        <w:t xml:space="preserve">. </w:t>
      </w:r>
      <w:r>
        <w:t xml:space="preserve">However, it is also important to acknowledge that because there is variation in </w:t>
      </w:r>
      <w:proofErr w:type="spellStart"/>
      <w:r>
        <w:t>Meidum</w:t>
      </w:r>
      <w:proofErr w:type="spellEnd"/>
      <w:r>
        <w:t xml:space="preserve"> bowl design across space, this observation also has implications for the use of </w:t>
      </w:r>
      <w:proofErr w:type="spellStart"/>
      <w:r>
        <w:t>Meidum</w:t>
      </w:r>
      <w:proofErr w:type="spellEnd"/>
      <w:r>
        <w:t xml:space="preserve"> bowl variants uncritically as chronological markers. Op de </w:t>
      </w:r>
      <w:proofErr w:type="spellStart"/>
      <w:r>
        <w:t>Beeck</w:t>
      </w:r>
      <w:proofErr w:type="spellEnd"/>
      <w:r>
        <w:t xml:space="preserve"> (2004) clearly demonstrates that a variety of vessel forms </w:t>
      </w:r>
      <w:proofErr w:type="gramStart"/>
      <w:r>
        <w:t>exist</w:t>
      </w:r>
      <w:proofErr w:type="gramEnd"/>
      <w:r>
        <w:t xml:space="preserve"> simultaneously across Egypt; this information, in conjunction with the results presented in this chapter suggests that there are not universal changes in ceramic forms by Dynasty. </w:t>
      </w:r>
    </w:p>
    <w:p w:rsidR="003A42E7" w:rsidRPr="003A42E7" w:rsidRDefault="003A42E7" w:rsidP="003A42E7">
      <w:pPr>
        <w:spacing w:line="480" w:lineRule="auto"/>
        <w:ind w:right="126" w:firstLine="720"/>
      </w:pPr>
      <w:r>
        <w:t>When types are considered not as bundled packages, but rather as groups of attributes that are either more or less free to vary, we have greater potential for understanding the direction and scale of communication between pottery specialists</w:t>
      </w:r>
      <w:r w:rsidR="00DE2653">
        <w:t xml:space="preserve"> and also can better pin-point aspects of the ceramic design attuned to function (in this case, that attribute appears to be diameter)</w:t>
      </w:r>
      <w:r>
        <w:t xml:space="preserve">. While Old Kingdom pottery studies have certainly acknowledged that ceramic </w:t>
      </w:r>
      <w:r>
        <w:lastRenderedPageBreak/>
        <w:t xml:space="preserve">products vary by workshop, little work has been done to consider how information for making ceramic vessels moves between workshops. </w:t>
      </w:r>
      <w:r w:rsidR="00DE2653">
        <w:t>My hope is that the results of this study will encourage other analysts to consider “</w:t>
      </w:r>
      <w:proofErr w:type="spellStart"/>
      <w:r w:rsidR="00DE2653">
        <w:t>desconstructing</w:t>
      </w:r>
      <w:proofErr w:type="spellEnd"/>
      <w:r w:rsidR="00DE2653">
        <w:t xml:space="preserve">” standard Old Kingdom “types” in the interest of better understanding the scales of interaction during the dynamic Old Kingdom period. </w:t>
      </w:r>
    </w:p>
    <w:p w:rsidR="003A42E7" w:rsidRPr="0066567F" w:rsidRDefault="003A42E7" w:rsidP="00C07B43">
      <w:pPr>
        <w:rPr>
          <w:b/>
        </w:rPr>
      </w:pPr>
    </w:p>
    <w:p w:rsidR="00C07B43" w:rsidRPr="0066567F" w:rsidRDefault="00C07B43" w:rsidP="00C07B43">
      <w:pPr>
        <w:rPr>
          <w:b/>
        </w:rPr>
      </w:pPr>
      <w:r w:rsidRPr="0066567F">
        <w:rPr>
          <w:b/>
        </w:rPr>
        <w:t>Acknowledgements</w:t>
      </w:r>
    </w:p>
    <w:p w:rsidR="00C07B43" w:rsidRPr="0066567F" w:rsidRDefault="00C07B43" w:rsidP="00C07B43">
      <w:pPr>
        <w:rPr>
          <w:b/>
        </w:rPr>
      </w:pPr>
    </w:p>
    <w:p w:rsidR="00982ABB" w:rsidRPr="0066567F" w:rsidRDefault="00C920AB" w:rsidP="00982ABB">
      <w:pPr>
        <w:spacing w:line="480" w:lineRule="auto"/>
        <w:ind w:right="187"/>
      </w:pPr>
      <w:r w:rsidRPr="0066567F">
        <w:rPr>
          <w:b/>
        </w:rPr>
        <w:tab/>
      </w:r>
      <w:r w:rsidRPr="0066567F">
        <w:t xml:space="preserve">I would like to thank Professor Robert </w:t>
      </w:r>
      <w:proofErr w:type="spellStart"/>
      <w:r w:rsidRPr="0066567F">
        <w:t>Wenke</w:t>
      </w:r>
      <w:proofErr w:type="spellEnd"/>
      <w:r w:rsidRPr="0066567F">
        <w:t xml:space="preserve"> for the initial idea and discussions from which this research developed</w:t>
      </w:r>
      <w:r w:rsidR="00232396" w:rsidRPr="0066567F">
        <w:t xml:space="preserve">.  </w:t>
      </w:r>
      <w:r w:rsidRPr="0066567F">
        <w:t xml:space="preserve">I hope this effort reflects his mentoring on this project over the years.  I also thank Professor </w:t>
      </w:r>
      <w:proofErr w:type="spellStart"/>
      <w:r w:rsidRPr="0066567F">
        <w:t>Wenke</w:t>
      </w:r>
      <w:proofErr w:type="spellEnd"/>
      <w:r w:rsidRPr="0066567F">
        <w:t xml:space="preserve"> for providing me access to ceramic materials from </w:t>
      </w:r>
      <w:proofErr w:type="spellStart"/>
      <w:r w:rsidRPr="0066567F">
        <w:t>Kom</w:t>
      </w:r>
      <w:proofErr w:type="spellEnd"/>
      <w:r w:rsidRPr="0066567F">
        <w:t xml:space="preserve"> el-</w:t>
      </w:r>
      <w:proofErr w:type="spellStart"/>
      <w:r w:rsidRPr="0066567F">
        <w:t>Hisn</w:t>
      </w:r>
      <w:proofErr w:type="spellEnd"/>
      <w:r w:rsidRPr="0066567F">
        <w:t xml:space="preserve">.  Field work at </w:t>
      </w:r>
      <w:proofErr w:type="spellStart"/>
      <w:r w:rsidRPr="0066567F">
        <w:t>Kom</w:t>
      </w:r>
      <w:proofErr w:type="spellEnd"/>
      <w:r w:rsidRPr="0066567F">
        <w:t xml:space="preserve"> el-</w:t>
      </w:r>
      <w:proofErr w:type="spellStart"/>
      <w:r w:rsidRPr="0066567F">
        <w:t>Hisn</w:t>
      </w:r>
      <w:proofErr w:type="spellEnd"/>
      <w:r w:rsidRPr="0066567F">
        <w:t xml:space="preserve"> was funded by National Science Foundation grants numbers 84-007006, 85-19637, and 87-18787.  I thank Mark </w:t>
      </w:r>
      <w:proofErr w:type="spellStart"/>
      <w:r w:rsidRPr="0066567F">
        <w:t>Lehner</w:t>
      </w:r>
      <w:proofErr w:type="spellEnd"/>
      <w:r w:rsidRPr="0066567F">
        <w:t xml:space="preserve"> for constructive discussions and generous access to ceramic materials from the Giza Plateau Mapping Project.</w:t>
      </w:r>
      <w:r w:rsidR="00232396" w:rsidRPr="0066567F">
        <w:t xml:space="preserve">  I am quite grateful to Josef Wegner of the University of Pennsylvania for providing me with field drawings of pottery vessels collected from the </w:t>
      </w:r>
      <w:proofErr w:type="spellStart"/>
      <w:r w:rsidR="00232396" w:rsidRPr="0066567F">
        <w:t>UPenn</w:t>
      </w:r>
      <w:proofErr w:type="spellEnd"/>
      <w:r w:rsidR="00232396" w:rsidRPr="0066567F">
        <w:t xml:space="preserve"> </w:t>
      </w:r>
      <w:r w:rsidR="00232396" w:rsidRPr="0066567F">
        <w:rPr>
          <w:rStyle w:val="text21"/>
          <w:rFonts w:ascii="Times New Roman" w:hAnsi="Times New Roman"/>
          <w:sz w:val="24"/>
          <w:szCs w:val="24"/>
        </w:rPr>
        <w:t xml:space="preserve">Survey of the </w:t>
      </w:r>
      <w:proofErr w:type="spellStart"/>
      <w:r w:rsidR="00232396" w:rsidRPr="0066567F">
        <w:rPr>
          <w:rStyle w:val="text21"/>
          <w:rFonts w:ascii="Times New Roman" w:hAnsi="Times New Roman"/>
          <w:sz w:val="24"/>
          <w:szCs w:val="24"/>
        </w:rPr>
        <w:t>Teti</w:t>
      </w:r>
      <w:proofErr w:type="spellEnd"/>
      <w:r w:rsidR="00232396" w:rsidRPr="0066567F">
        <w:rPr>
          <w:rStyle w:val="text21"/>
          <w:rFonts w:ascii="Times New Roman" w:hAnsi="Times New Roman"/>
          <w:sz w:val="24"/>
          <w:szCs w:val="24"/>
        </w:rPr>
        <w:t xml:space="preserve"> Mortuary Temple</w:t>
      </w:r>
      <w:r w:rsidR="00232396" w:rsidRPr="0066567F">
        <w:t>.</w:t>
      </w:r>
      <w:r w:rsidR="00982ABB" w:rsidRPr="0066567F">
        <w:t xml:space="preserve">  I am also especially grateful to Dietrich </w:t>
      </w:r>
      <w:proofErr w:type="spellStart"/>
      <w:r w:rsidR="00982ABB" w:rsidRPr="0066567F">
        <w:t>Raue</w:t>
      </w:r>
      <w:proofErr w:type="spellEnd"/>
      <w:r w:rsidR="00982ABB" w:rsidRPr="0066567F">
        <w:t xml:space="preserve"> of the German Archaeological Institute and director of their excavations at Elephantine.  Dr. </w:t>
      </w:r>
      <w:proofErr w:type="spellStart"/>
      <w:r w:rsidR="00982ABB" w:rsidRPr="0066567F">
        <w:t>Raue</w:t>
      </w:r>
      <w:proofErr w:type="spellEnd"/>
      <w:r w:rsidR="00982ABB" w:rsidRPr="0066567F">
        <w:t xml:space="preserve"> kindly allowed me access to ceramic materials from Elephantine, and provided excellent hospitality.  </w:t>
      </w:r>
    </w:p>
    <w:p w:rsidR="00C920AB" w:rsidRPr="0066567F" w:rsidRDefault="00C920AB" w:rsidP="00232396">
      <w:pPr>
        <w:spacing w:line="480" w:lineRule="auto"/>
        <w:ind w:right="187"/>
      </w:pPr>
    </w:p>
    <w:p w:rsidR="00C07B43" w:rsidRDefault="00C07B43" w:rsidP="00C920AB"/>
    <w:p w:rsidR="00FD6886" w:rsidRDefault="00FD6886" w:rsidP="00C920AB"/>
    <w:p w:rsidR="00FD6886" w:rsidRDefault="00FD6886" w:rsidP="00C920AB"/>
    <w:p w:rsidR="00FD6886" w:rsidRDefault="00FD6886" w:rsidP="00C920AB"/>
    <w:p w:rsidR="00FD6886" w:rsidRDefault="00FD6886" w:rsidP="00C920AB"/>
    <w:p w:rsidR="00FD6886" w:rsidRDefault="00FD6886" w:rsidP="00C920AB"/>
    <w:p w:rsidR="00FD6886" w:rsidRDefault="00FD6886" w:rsidP="00C920AB"/>
    <w:p w:rsidR="00FD6886" w:rsidRPr="0066567F" w:rsidRDefault="00FD6886" w:rsidP="00C920AB"/>
    <w:p w:rsidR="00C07B43" w:rsidRPr="0066567F" w:rsidRDefault="00C07B43" w:rsidP="00C07B43">
      <w:pPr>
        <w:rPr>
          <w:b/>
        </w:rPr>
      </w:pPr>
    </w:p>
    <w:p w:rsidR="00A96E62" w:rsidRPr="0066567F" w:rsidRDefault="00A96E62" w:rsidP="003B1547">
      <w:pPr>
        <w:spacing w:line="480" w:lineRule="auto"/>
        <w:ind w:right="126"/>
        <w:rPr>
          <w:b/>
        </w:rPr>
      </w:pPr>
      <w:r w:rsidRPr="0066567F">
        <w:rPr>
          <w:b/>
        </w:rPr>
        <w:lastRenderedPageBreak/>
        <w:t>References</w:t>
      </w:r>
    </w:p>
    <w:p w:rsidR="00A96E62" w:rsidRPr="0066567F" w:rsidRDefault="00A96E62" w:rsidP="008E714C">
      <w:pPr>
        <w:widowControl w:val="0"/>
        <w:ind w:right="99"/>
      </w:pPr>
      <w:r w:rsidRPr="0066567F">
        <w:t xml:space="preserve">Arnold, D. and J. </w:t>
      </w:r>
      <w:proofErr w:type="spellStart"/>
      <w:r w:rsidRPr="0066567F">
        <w:t>Bourriau</w:t>
      </w:r>
      <w:proofErr w:type="spellEnd"/>
    </w:p>
    <w:p w:rsidR="00A96E62" w:rsidRPr="0066567F" w:rsidRDefault="00A96E62" w:rsidP="008E714C">
      <w:pPr>
        <w:widowControl w:val="0"/>
        <w:ind w:right="99"/>
      </w:pPr>
      <w:r w:rsidRPr="0066567F">
        <w:t>1993</w:t>
      </w:r>
      <w:r w:rsidRPr="0066567F">
        <w:tab/>
      </w:r>
      <w:r w:rsidRPr="0066567F">
        <w:rPr>
          <w:i/>
        </w:rPr>
        <w:t>An Introduction to Ancient Egyptian Pottery</w:t>
      </w:r>
      <w:r w:rsidRPr="0066567F">
        <w:t xml:space="preserve">. </w:t>
      </w:r>
      <w:proofErr w:type="spellStart"/>
      <w:r w:rsidRPr="0066567F">
        <w:t>Verlag</w:t>
      </w:r>
      <w:proofErr w:type="spellEnd"/>
      <w:r w:rsidRPr="0066567F">
        <w:t xml:space="preserve"> Philipp von </w:t>
      </w:r>
      <w:proofErr w:type="spellStart"/>
      <w:r w:rsidRPr="0066567F">
        <w:t>Zabern</w:t>
      </w:r>
      <w:proofErr w:type="spellEnd"/>
      <w:r w:rsidRPr="0066567F">
        <w:t xml:space="preserve">, Mainz </w:t>
      </w:r>
      <w:proofErr w:type="gramStart"/>
      <w:r w:rsidRPr="0066567F">
        <w:t>am</w:t>
      </w:r>
      <w:proofErr w:type="gramEnd"/>
      <w:r w:rsidRPr="0066567F">
        <w:t xml:space="preserve"> </w:t>
      </w:r>
      <w:proofErr w:type="spellStart"/>
      <w:r w:rsidRPr="0066567F">
        <w:t>Rhein</w:t>
      </w:r>
      <w:proofErr w:type="spellEnd"/>
      <w:r w:rsidRPr="0066567F">
        <w:t>.</w:t>
      </w:r>
    </w:p>
    <w:p w:rsidR="00A96E62" w:rsidRPr="0066567F" w:rsidRDefault="00A96E62" w:rsidP="00AB2605">
      <w:pPr>
        <w:widowControl w:val="0"/>
        <w:ind w:right="99"/>
      </w:pPr>
    </w:p>
    <w:p w:rsidR="00A96E62" w:rsidRPr="0066567F" w:rsidRDefault="00A96E62" w:rsidP="00AB2605">
      <w:pPr>
        <w:widowControl w:val="0"/>
        <w:ind w:right="99"/>
      </w:pPr>
      <w:r w:rsidRPr="0066567F">
        <w:t xml:space="preserve">Baines, J. and N. </w:t>
      </w:r>
      <w:proofErr w:type="spellStart"/>
      <w:r w:rsidRPr="0066567F">
        <w:t>Yoffee</w:t>
      </w:r>
      <w:proofErr w:type="spellEnd"/>
    </w:p>
    <w:p w:rsidR="00A96E62" w:rsidRPr="0066567F" w:rsidRDefault="00A96E62" w:rsidP="00AB2605">
      <w:pPr>
        <w:widowControl w:val="0"/>
        <w:ind w:left="720" w:right="99" w:hanging="720"/>
      </w:pPr>
      <w:r w:rsidRPr="0066567F">
        <w:t>1998</w:t>
      </w:r>
      <w:r w:rsidRPr="0066567F">
        <w:tab/>
        <w:t xml:space="preserve">Order, Legitimacy and Wealth in Ancient Egypt and Mesopotamia.  </w:t>
      </w:r>
      <w:proofErr w:type="gramStart"/>
      <w:r w:rsidRPr="0066567F">
        <w:t xml:space="preserve">In </w:t>
      </w:r>
      <w:r w:rsidRPr="0066567F">
        <w:rPr>
          <w:i/>
        </w:rPr>
        <w:t xml:space="preserve">Archaic States, </w:t>
      </w:r>
      <w:r w:rsidRPr="0066567F">
        <w:t xml:space="preserve">edited by G. </w:t>
      </w:r>
      <w:proofErr w:type="spellStart"/>
      <w:r w:rsidRPr="0066567F">
        <w:t>Feinman</w:t>
      </w:r>
      <w:proofErr w:type="spellEnd"/>
      <w:r w:rsidRPr="0066567F">
        <w:t xml:space="preserve"> and J. Marcus, pp. 199 –260.</w:t>
      </w:r>
      <w:proofErr w:type="gramEnd"/>
      <w:r w:rsidRPr="0066567F">
        <w:t xml:space="preserve">  School of American Research, Santa Fe.  </w:t>
      </w:r>
    </w:p>
    <w:p w:rsidR="00A96E62" w:rsidRPr="0066567F" w:rsidRDefault="00A96E62" w:rsidP="00AB2605">
      <w:pPr>
        <w:widowControl w:val="0"/>
        <w:ind w:right="99"/>
      </w:pPr>
    </w:p>
    <w:p w:rsidR="00A96E62" w:rsidRPr="0066567F" w:rsidRDefault="00A96E62" w:rsidP="00A47E97">
      <w:pPr>
        <w:widowControl w:val="0"/>
        <w:ind w:right="99"/>
      </w:pPr>
      <w:proofErr w:type="gramStart"/>
      <w:r w:rsidRPr="0066567F">
        <w:t>Ballet, P.</w:t>
      </w:r>
      <w:proofErr w:type="gramEnd"/>
    </w:p>
    <w:p w:rsidR="00A96E62" w:rsidRPr="0066567F" w:rsidRDefault="00A96E62" w:rsidP="00A47E97">
      <w:pPr>
        <w:widowControl w:val="0"/>
        <w:ind w:left="720" w:right="99" w:hanging="720"/>
      </w:pPr>
      <w:r w:rsidRPr="0066567F">
        <w:t>1987</w:t>
      </w:r>
      <w:r w:rsidRPr="0066567F">
        <w:tab/>
      </w:r>
      <w:proofErr w:type="spellStart"/>
      <w:r w:rsidRPr="0066567F">
        <w:t>Essai</w:t>
      </w:r>
      <w:proofErr w:type="spellEnd"/>
      <w:r w:rsidRPr="0066567F">
        <w:t xml:space="preserve"> de classification des coupes type "</w:t>
      </w:r>
      <w:proofErr w:type="spellStart"/>
      <w:r w:rsidRPr="0066567F">
        <w:t>Maidum</w:t>
      </w:r>
      <w:proofErr w:type="spellEnd"/>
      <w:r w:rsidRPr="0066567F">
        <w:t xml:space="preserve">-Bowl" du </w:t>
      </w:r>
      <w:proofErr w:type="spellStart"/>
      <w:r w:rsidRPr="0066567F">
        <w:t>sondage</w:t>
      </w:r>
      <w:proofErr w:type="spellEnd"/>
      <w:r w:rsidRPr="0066567F">
        <w:t xml:space="preserve"> </w:t>
      </w:r>
      <w:proofErr w:type="spellStart"/>
      <w:r w:rsidRPr="0066567F">
        <w:t>nord</w:t>
      </w:r>
      <w:proofErr w:type="spellEnd"/>
      <w:r w:rsidRPr="0066567F">
        <w:t xml:space="preserve"> de '</w:t>
      </w:r>
      <w:proofErr w:type="spellStart"/>
      <w:r w:rsidRPr="0066567F">
        <w:t>Ayn-Asīl</w:t>
      </w:r>
      <w:proofErr w:type="spellEnd"/>
      <w:r w:rsidRPr="0066567F">
        <w:t xml:space="preserve"> (Oasis de </w:t>
      </w:r>
      <w:proofErr w:type="spellStart"/>
      <w:r w:rsidRPr="0066567F">
        <w:t>Dakhla</w:t>
      </w:r>
      <w:proofErr w:type="spellEnd"/>
      <w:r w:rsidRPr="0066567F">
        <w:t xml:space="preserve">):  </w:t>
      </w:r>
      <w:proofErr w:type="spellStart"/>
      <w:r w:rsidRPr="0066567F">
        <w:t>Typologie</w:t>
      </w:r>
      <w:proofErr w:type="spellEnd"/>
      <w:r w:rsidRPr="0066567F">
        <w:t xml:space="preserve"> </w:t>
      </w:r>
      <w:proofErr w:type="gramStart"/>
      <w:r w:rsidRPr="0066567F">
        <w:t>et</w:t>
      </w:r>
      <w:proofErr w:type="gramEnd"/>
      <w:r w:rsidRPr="0066567F">
        <w:t xml:space="preserve"> </w:t>
      </w:r>
      <w:proofErr w:type="spellStart"/>
      <w:r w:rsidRPr="0066567F">
        <w:t>évolution</w:t>
      </w:r>
      <w:proofErr w:type="spellEnd"/>
      <w:r w:rsidRPr="0066567F">
        <w:rPr>
          <w:i/>
        </w:rPr>
        <w:t>.</w:t>
      </w:r>
      <w:r w:rsidRPr="0066567F">
        <w:t xml:space="preserve"> </w:t>
      </w:r>
      <w:proofErr w:type="gramStart"/>
      <w:r w:rsidRPr="0066567F">
        <w:t xml:space="preserve">In </w:t>
      </w:r>
      <w:r w:rsidRPr="0066567F">
        <w:rPr>
          <w:i/>
        </w:rPr>
        <w:t xml:space="preserve">Cahiers de la </w:t>
      </w:r>
      <w:proofErr w:type="spellStart"/>
      <w:r w:rsidRPr="0066567F">
        <w:rPr>
          <w:i/>
        </w:rPr>
        <w:t>Céramique</w:t>
      </w:r>
      <w:proofErr w:type="spellEnd"/>
      <w:r w:rsidRPr="0066567F">
        <w:rPr>
          <w:i/>
        </w:rPr>
        <w:t xml:space="preserve"> </w:t>
      </w:r>
      <w:proofErr w:type="spellStart"/>
      <w:r w:rsidRPr="0066567F">
        <w:rPr>
          <w:i/>
        </w:rPr>
        <w:t>Égyptienne</w:t>
      </w:r>
      <w:proofErr w:type="spellEnd"/>
      <w:r w:rsidRPr="0066567F">
        <w:t>, edited by P. Ballet, pp. 1-17.</w:t>
      </w:r>
      <w:proofErr w:type="gramEnd"/>
      <w:r w:rsidRPr="0066567F">
        <w:t xml:space="preserve"> </w:t>
      </w:r>
      <w:proofErr w:type="gramStart"/>
      <w:r w:rsidRPr="0066567F">
        <w:t xml:space="preserve">Publications de </w:t>
      </w:r>
      <w:proofErr w:type="spellStart"/>
      <w:r w:rsidRPr="0066567F">
        <w:t>l'institute</w:t>
      </w:r>
      <w:proofErr w:type="spellEnd"/>
      <w:r w:rsidRPr="0066567F">
        <w:t xml:space="preserve"> </w:t>
      </w:r>
      <w:proofErr w:type="spellStart"/>
      <w:r w:rsidRPr="0066567F">
        <w:t>Français</w:t>
      </w:r>
      <w:proofErr w:type="spellEnd"/>
      <w:r w:rsidRPr="0066567F">
        <w:t xml:space="preserve"> </w:t>
      </w:r>
      <w:proofErr w:type="spellStart"/>
      <w:r w:rsidRPr="0066567F">
        <w:t>d'archaéologie</w:t>
      </w:r>
      <w:proofErr w:type="spellEnd"/>
      <w:r w:rsidRPr="0066567F">
        <w:t xml:space="preserve"> </w:t>
      </w:r>
      <w:proofErr w:type="spellStart"/>
      <w:r w:rsidRPr="0066567F">
        <w:t>orientale</w:t>
      </w:r>
      <w:proofErr w:type="spellEnd"/>
      <w:r w:rsidRPr="0066567F">
        <w:t xml:space="preserve">, Le </w:t>
      </w:r>
      <w:proofErr w:type="spellStart"/>
      <w:r w:rsidRPr="0066567F">
        <w:t>Caire</w:t>
      </w:r>
      <w:proofErr w:type="spellEnd"/>
      <w:r w:rsidRPr="0066567F">
        <w:t>.</w:t>
      </w:r>
      <w:proofErr w:type="gramEnd"/>
    </w:p>
    <w:p w:rsidR="00522894" w:rsidRDefault="00522894" w:rsidP="00F822E8">
      <w:pPr>
        <w:widowControl w:val="0"/>
        <w:ind w:right="99"/>
      </w:pPr>
    </w:p>
    <w:p w:rsidR="00A96E62" w:rsidRPr="0066567F" w:rsidRDefault="00A96E62" w:rsidP="00F822E8">
      <w:pPr>
        <w:widowControl w:val="0"/>
        <w:ind w:right="99"/>
      </w:pPr>
      <w:proofErr w:type="spellStart"/>
      <w:r w:rsidRPr="0066567F">
        <w:t>Barta</w:t>
      </w:r>
      <w:proofErr w:type="spellEnd"/>
      <w:r w:rsidRPr="0066567F">
        <w:t>, M.</w:t>
      </w:r>
    </w:p>
    <w:p w:rsidR="00A96E62" w:rsidRPr="0066567F" w:rsidRDefault="00A96E62" w:rsidP="00F822E8">
      <w:pPr>
        <w:widowControl w:val="0"/>
        <w:ind w:left="720" w:right="99"/>
      </w:pPr>
      <w:r w:rsidRPr="0066567F">
        <w:t>1996</w:t>
      </w:r>
      <w:r w:rsidRPr="0066567F">
        <w:tab/>
        <w:t xml:space="preserve">Several remarks on beer jars found at </w:t>
      </w:r>
      <w:proofErr w:type="spellStart"/>
      <w:r w:rsidRPr="0066567F">
        <w:t>Abusir</w:t>
      </w:r>
      <w:proofErr w:type="spellEnd"/>
      <w:r w:rsidRPr="0066567F">
        <w:rPr>
          <w:i/>
        </w:rPr>
        <w:t>.</w:t>
      </w:r>
      <w:r w:rsidRPr="0066567F">
        <w:t xml:space="preserve"> </w:t>
      </w:r>
      <w:proofErr w:type="gramStart"/>
      <w:r w:rsidRPr="0066567F">
        <w:t xml:space="preserve">In </w:t>
      </w:r>
      <w:r w:rsidRPr="0066567F">
        <w:rPr>
          <w:i/>
        </w:rPr>
        <w:t xml:space="preserve">Cahiers de la </w:t>
      </w:r>
      <w:proofErr w:type="spellStart"/>
      <w:r w:rsidRPr="0066567F">
        <w:rPr>
          <w:i/>
        </w:rPr>
        <w:t>Céramique</w:t>
      </w:r>
      <w:proofErr w:type="spellEnd"/>
      <w:r w:rsidRPr="0066567F">
        <w:rPr>
          <w:i/>
        </w:rPr>
        <w:t xml:space="preserve"> </w:t>
      </w:r>
      <w:proofErr w:type="spellStart"/>
      <w:r w:rsidRPr="0066567F">
        <w:rPr>
          <w:i/>
        </w:rPr>
        <w:t>Égyptienne</w:t>
      </w:r>
      <w:proofErr w:type="spellEnd"/>
      <w:r w:rsidRPr="0066567F">
        <w:t>, pp. 127-133.</w:t>
      </w:r>
      <w:proofErr w:type="gramEnd"/>
      <w:r w:rsidRPr="0066567F">
        <w:t xml:space="preserve"> </w:t>
      </w:r>
      <w:proofErr w:type="gramStart"/>
      <w:r w:rsidRPr="0066567F">
        <w:t>vol. 4.</w:t>
      </w:r>
      <w:proofErr w:type="gramEnd"/>
      <w:r w:rsidRPr="0066567F">
        <w:t xml:space="preserve"> </w:t>
      </w:r>
      <w:proofErr w:type="spellStart"/>
      <w:proofErr w:type="gramStart"/>
      <w:r w:rsidRPr="0066567F">
        <w:t>Institut</w:t>
      </w:r>
      <w:proofErr w:type="spellEnd"/>
      <w:r w:rsidRPr="0066567F">
        <w:t xml:space="preserve"> </w:t>
      </w:r>
      <w:proofErr w:type="spellStart"/>
      <w:r w:rsidRPr="0066567F">
        <w:t>Français</w:t>
      </w:r>
      <w:proofErr w:type="spellEnd"/>
      <w:r w:rsidRPr="0066567F">
        <w:t xml:space="preserve"> </w:t>
      </w:r>
      <w:proofErr w:type="spellStart"/>
      <w:r w:rsidRPr="0066567F">
        <w:t>d'archaéologie</w:t>
      </w:r>
      <w:proofErr w:type="spellEnd"/>
      <w:r w:rsidRPr="0066567F">
        <w:t xml:space="preserve"> Orientale, Le </w:t>
      </w:r>
      <w:proofErr w:type="spellStart"/>
      <w:r w:rsidRPr="0066567F">
        <w:t>Caire</w:t>
      </w:r>
      <w:proofErr w:type="spellEnd"/>
      <w:r w:rsidRPr="0066567F">
        <w:t>.</w:t>
      </w:r>
      <w:proofErr w:type="gramEnd"/>
    </w:p>
    <w:p w:rsidR="00A96E62" w:rsidRPr="0066567F" w:rsidRDefault="00A96E62" w:rsidP="00AB2605">
      <w:pPr>
        <w:widowControl w:val="0"/>
        <w:ind w:right="99"/>
      </w:pPr>
    </w:p>
    <w:p w:rsidR="00A96E62" w:rsidRPr="0066567F" w:rsidRDefault="00A96E62" w:rsidP="00AB2605">
      <w:pPr>
        <w:widowControl w:val="0"/>
        <w:ind w:right="99"/>
      </w:pPr>
      <w:r w:rsidRPr="0066567F">
        <w:t xml:space="preserve">Boas, F. </w:t>
      </w:r>
    </w:p>
    <w:p w:rsidR="00A96E62" w:rsidRPr="0066567F" w:rsidRDefault="00A96E62" w:rsidP="00AB2605">
      <w:pPr>
        <w:spacing w:line="480" w:lineRule="auto"/>
        <w:ind w:right="126"/>
      </w:pPr>
      <w:r w:rsidRPr="0066567F">
        <w:t xml:space="preserve">1896 </w:t>
      </w:r>
      <w:r w:rsidRPr="0066567F">
        <w:tab/>
        <w:t xml:space="preserve">The limitations of the comparative method in anthropology.  </w:t>
      </w:r>
      <w:r w:rsidRPr="0066567F">
        <w:rPr>
          <w:i/>
        </w:rPr>
        <w:t xml:space="preserve">Science </w:t>
      </w:r>
      <w:r w:rsidRPr="0066567F">
        <w:t>4:  901-907.</w:t>
      </w:r>
    </w:p>
    <w:p w:rsidR="00A96E62" w:rsidRPr="0066567F" w:rsidRDefault="00A96E62" w:rsidP="00A50F65">
      <w:pPr>
        <w:widowControl w:val="0"/>
        <w:ind w:right="99"/>
      </w:pPr>
      <w:proofErr w:type="spellStart"/>
      <w:r w:rsidRPr="0066567F">
        <w:t>Bourriau</w:t>
      </w:r>
      <w:proofErr w:type="spellEnd"/>
      <w:r w:rsidRPr="0066567F">
        <w:t>, J.</w:t>
      </w:r>
    </w:p>
    <w:p w:rsidR="00A96E62" w:rsidRPr="0066567F" w:rsidRDefault="00A96E62" w:rsidP="00A50F65">
      <w:pPr>
        <w:widowControl w:val="0"/>
        <w:ind w:right="99"/>
      </w:pPr>
      <w:r w:rsidRPr="0066567F">
        <w:tab/>
        <w:t>1981</w:t>
      </w:r>
      <w:r w:rsidRPr="0066567F">
        <w:tab/>
      </w:r>
      <w:r w:rsidRPr="0066567F">
        <w:rPr>
          <w:i/>
        </w:rPr>
        <w:t>Um El-</w:t>
      </w:r>
      <w:proofErr w:type="spellStart"/>
      <w:r w:rsidRPr="0066567F">
        <w:rPr>
          <w:i/>
        </w:rPr>
        <w:t>Ga'ab</w:t>
      </w:r>
      <w:proofErr w:type="spellEnd"/>
      <w:r w:rsidRPr="0066567F">
        <w:rPr>
          <w:i/>
        </w:rPr>
        <w:t xml:space="preserve">:  Pottery from the Nile Valley </w:t>
      </w:r>
      <w:proofErr w:type="gramStart"/>
      <w:r w:rsidRPr="0066567F">
        <w:rPr>
          <w:i/>
        </w:rPr>
        <w:t>Before</w:t>
      </w:r>
      <w:proofErr w:type="gramEnd"/>
      <w:r w:rsidRPr="0066567F">
        <w:rPr>
          <w:i/>
        </w:rPr>
        <w:t xml:space="preserve"> the Arab Conquest</w:t>
      </w:r>
      <w:r w:rsidRPr="0066567F">
        <w:t xml:space="preserve">. Cambridge </w:t>
      </w:r>
      <w:r w:rsidRPr="0066567F">
        <w:tab/>
        <w:t>University Press, Cambridge.</w:t>
      </w:r>
    </w:p>
    <w:p w:rsidR="00A96E62" w:rsidRPr="0066567F" w:rsidRDefault="00A96E62" w:rsidP="00A61E34">
      <w:pPr>
        <w:widowControl w:val="0"/>
        <w:ind w:left="741" w:right="99"/>
      </w:pPr>
    </w:p>
    <w:p w:rsidR="00A96E62" w:rsidRPr="0066567F" w:rsidRDefault="00A96E62" w:rsidP="00A61E34">
      <w:pPr>
        <w:widowControl w:val="0"/>
        <w:ind w:right="99"/>
      </w:pPr>
      <w:proofErr w:type="gramStart"/>
      <w:r w:rsidRPr="0066567F">
        <w:t>Cagle, A.</w:t>
      </w:r>
      <w:proofErr w:type="gramEnd"/>
    </w:p>
    <w:p w:rsidR="00A96E62" w:rsidRPr="0066567F" w:rsidRDefault="00A96E62" w:rsidP="00E23CEE">
      <w:pPr>
        <w:pStyle w:val="NoSpacing"/>
        <w:ind w:left="720" w:hanging="720"/>
      </w:pPr>
      <w:r w:rsidRPr="0066567F">
        <w:t>2001</w:t>
      </w:r>
      <w:r w:rsidRPr="0066567F">
        <w:tab/>
      </w:r>
      <w:r w:rsidRPr="0066567F">
        <w:rPr>
          <w:i/>
        </w:rPr>
        <w:t xml:space="preserve">The Spatial Structure of </w:t>
      </w:r>
      <w:proofErr w:type="spellStart"/>
      <w:r w:rsidRPr="0066567F">
        <w:rPr>
          <w:i/>
        </w:rPr>
        <w:t>Kom</w:t>
      </w:r>
      <w:proofErr w:type="spellEnd"/>
      <w:r w:rsidRPr="0066567F">
        <w:rPr>
          <w:i/>
        </w:rPr>
        <w:t xml:space="preserve"> el-</w:t>
      </w:r>
      <w:proofErr w:type="spellStart"/>
      <w:r w:rsidRPr="0066567F">
        <w:rPr>
          <w:i/>
        </w:rPr>
        <w:t>Hisn</w:t>
      </w:r>
      <w:proofErr w:type="spellEnd"/>
      <w:r w:rsidRPr="0066567F">
        <w:rPr>
          <w:i/>
        </w:rPr>
        <w:t>:  An Old Kingdom Town in the Western Nile Delta, Egypt</w:t>
      </w:r>
      <w:r w:rsidRPr="0066567F">
        <w:t>. Unpublished PhD Thesis, Seattle.</w:t>
      </w:r>
    </w:p>
    <w:p w:rsidR="00A96E62" w:rsidRPr="0066567F" w:rsidRDefault="00A96E62" w:rsidP="0013064C">
      <w:pPr>
        <w:widowControl w:val="0"/>
        <w:ind w:right="99"/>
      </w:pPr>
    </w:p>
    <w:p w:rsidR="00A96E62" w:rsidRPr="0066567F" w:rsidRDefault="00A96E62" w:rsidP="0013064C">
      <w:pPr>
        <w:widowControl w:val="0"/>
        <w:ind w:right="99"/>
      </w:pPr>
      <w:r w:rsidRPr="0066567F">
        <w:t xml:space="preserve">Doran, J. and F. </w:t>
      </w:r>
      <w:proofErr w:type="spellStart"/>
      <w:r w:rsidRPr="0066567F">
        <w:t>Hodson</w:t>
      </w:r>
      <w:proofErr w:type="spellEnd"/>
    </w:p>
    <w:p w:rsidR="00A96E62" w:rsidRPr="0066567F" w:rsidRDefault="00A96E62" w:rsidP="0013064C">
      <w:pPr>
        <w:pStyle w:val="NoSpacing"/>
        <w:ind w:left="720" w:hanging="720"/>
      </w:pPr>
      <w:r w:rsidRPr="0066567F">
        <w:t>1975</w:t>
      </w:r>
      <w:r w:rsidRPr="0066567F">
        <w:tab/>
      </w:r>
      <w:r w:rsidRPr="0066567F">
        <w:rPr>
          <w:i/>
        </w:rPr>
        <w:t>Mathematics and Computers in Archaeology</w:t>
      </w:r>
      <w:r w:rsidRPr="0066567F">
        <w:t xml:space="preserve">. Harvard University Press, Cambridge, </w:t>
      </w:r>
      <w:proofErr w:type="spellStart"/>
      <w:r w:rsidRPr="0066567F">
        <w:t>Massachussetts</w:t>
      </w:r>
      <w:proofErr w:type="spellEnd"/>
      <w:r w:rsidRPr="0066567F">
        <w:t>.</w:t>
      </w:r>
    </w:p>
    <w:p w:rsidR="00A96E62" w:rsidRPr="0066567F" w:rsidRDefault="00A96E62" w:rsidP="00C82883">
      <w:pPr>
        <w:widowControl w:val="0"/>
        <w:ind w:right="99"/>
      </w:pPr>
    </w:p>
    <w:p w:rsidR="00A96E62" w:rsidRPr="0066567F" w:rsidRDefault="00A96E62" w:rsidP="00C82883">
      <w:pPr>
        <w:widowControl w:val="0"/>
        <w:ind w:right="99"/>
      </w:pPr>
      <w:proofErr w:type="spellStart"/>
      <w:r w:rsidRPr="0066567F">
        <w:t>Drennan</w:t>
      </w:r>
      <w:proofErr w:type="spellEnd"/>
      <w:r w:rsidRPr="0066567F">
        <w:t>, R.</w:t>
      </w:r>
    </w:p>
    <w:p w:rsidR="00A96E62" w:rsidRPr="0066567F" w:rsidRDefault="00A96E62" w:rsidP="00C82883">
      <w:pPr>
        <w:widowControl w:val="0"/>
        <w:ind w:right="99"/>
      </w:pPr>
      <w:r w:rsidRPr="0066567F">
        <w:t>1996</w:t>
      </w:r>
      <w:r w:rsidRPr="0066567F">
        <w:tab/>
      </w:r>
      <w:r w:rsidRPr="0066567F">
        <w:rPr>
          <w:i/>
        </w:rPr>
        <w:t>Statistics for Archaeologists: A Commonsense Approach</w:t>
      </w:r>
      <w:r w:rsidRPr="0066567F">
        <w:t xml:space="preserve">. </w:t>
      </w:r>
      <w:proofErr w:type="gramStart"/>
      <w:r w:rsidRPr="0066567F">
        <w:t>Plenum, New York.</w:t>
      </w:r>
      <w:proofErr w:type="gramEnd"/>
    </w:p>
    <w:p w:rsidR="00A96E62" w:rsidRPr="0066567F" w:rsidRDefault="00A96E62" w:rsidP="00C82883">
      <w:pPr>
        <w:widowControl w:val="0"/>
        <w:ind w:left="741" w:right="99"/>
      </w:pPr>
    </w:p>
    <w:p w:rsidR="00145434" w:rsidRPr="0066567F" w:rsidRDefault="00145434" w:rsidP="00145434">
      <w:pPr>
        <w:widowControl w:val="0"/>
        <w:ind w:right="99"/>
      </w:pPr>
      <w:proofErr w:type="spellStart"/>
      <w:r w:rsidRPr="0066567F">
        <w:t>Eerkens</w:t>
      </w:r>
      <w:proofErr w:type="spellEnd"/>
      <w:r w:rsidRPr="0066567F">
        <w:t xml:space="preserve">, J. and R. </w:t>
      </w:r>
      <w:proofErr w:type="spellStart"/>
      <w:r w:rsidRPr="0066567F">
        <w:t>Bettinger</w:t>
      </w:r>
      <w:proofErr w:type="spellEnd"/>
      <w:r w:rsidRPr="0066567F">
        <w:tab/>
      </w:r>
    </w:p>
    <w:p w:rsidR="00145434" w:rsidRPr="0066567F" w:rsidRDefault="00145434" w:rsidP="00145434">
      <w:pPr>
        <w:widowControl w:val="0"/>
        <w:ind w:left="720" w:right="99" w:hanging="720"/>
      </w:pPr>
      <w:r w:rsidRPr="0066567F">
        <w:t>2001</w:t>
      </w:r>
      <w:r w:rsidRPr="0066567F">
        <w:tab/>
        <w:t xml:space="preserve">Techniques for Assessing Standardization in Artifact Assemblages: Can We Scale Material Variability? </w:t>
      </w:r>
      <w:r w:rsidRPr="0066567F">
        <w:rPr>
          <w:i/>
        </w:rPr>
        <w:t xml:space="preserve">American Antiquity </w:t>
      </w:r>
      <w:r w:rsidRPr="0066567F">
        <w:t>66:493-504.</w:t>
      </w:r>
    </w:p>
    <w:p w:rsidR="00145434" w:rsidRPr="0066567F" w:rsidRDefault="00145434" w:rsidP="00A61E34">
      <w:pPr>
        <w:pStyle w:val="NoSpacing"/>
      </w:pPr>
    </w:p>
    <w:p w:rsidR="00A96E62" w:rsidRPr="0066567F" w:rsidRDefault="00A96E62" w:rsidP="00A61E34">
      <w:pPr>
        <w:pStyle w:val="NoSpacing"/>
      </w:pPr>
      <w:proofErr w:type="spellStart"/>
      <w:r w:rsidRPr="0066567F">
        <w:t>Eerkens</w:t>
      </w:r>
      <w:proofErr w:type="spellEnd"/>
      <w:r w:rsidRPr="0066567F">
        <w:t xml:space="preserve">, J. and C. </w:t>
      </w:r>
      <w:proofErr w:type="spellStart"/>
      <w:r w:rsidRPr="0066567F">
        <w:t>Lipo</w:t>
      </w:r>
      <w:proofErr w:type="spellEnd"/>
    </w:p>
    <w:p w:rsidR="00A96E62" w:rsidRPr="0066567F" w:rsidRDefault="00A96E62" w:rsidP="007C1A33">
      <w:pPr>
        <w:pStyle w:val="NoSpacing"/>
      </w:pPr>
      <w:r w:rsidRPr="0066567F">
        <w:lastRenderedPageBreak/>
        <w:t>2007</w:t>
      </w:r>
      <w:r w:rsidRPr="0066567F">
        <w:tab/>
        <w:t xml:space="preserve">Cultural Transmission Theory and the Archaeological Record:  Providing Context </w:t>
      </w:r>
      <w:r w:rsidRPr="0066567F">
        <w:tab/>
      </w:r>
      <w:r w:rsidRPr="0066567F">
        <w:tab/>
        <w:t xml:space="preserve">to Understanding Variation and Temporal Changes in Material Culture.  </w:t>
      </w:r>
      <w:r w:rsidRPr="0066567F">
        <w:rPr>
          <w:i/>
        </w:rPr>
        <w:t xml:space="preserve">Journal </w:t>
      </w:r>
      <w:r w:rsidRPr="0066567F">
        <w:rPr>
          <w:i/>
        </w:rPr>
        <w:tab/>
      </w:r>
      <w:r w:rsidRPr="0066567F">
        <w:rPr>
          <w:i/>
        </w:rPr>
        <w:tab/>
      </w:r>
      <w:r w:rsidRPr="0066567F">
        <w:rPr>
          <w:i/>
        </w:rPr>
        <w:tab/>
        <w:t xml:space="preserve">of Archaeological Research </w:t>
      </w:r>
      <w:r w:rsidRPr="0066567F">
        <w:t>15: 239-274.</w:t>
      </w:r>
    </w:p>
    <w:p w:rsidR="00A96E62" w:rsidRPr="0066567F" w:rsidRDefault="00A96E62" w:rsidP="00575D3C">
      <w:pPr>
        <w:widowControl w:val="0"/>
        <w:ind w:left="741" w:right="99"/>
      </w:pPr>
    </w:p>
    <w:p w:rsidR="00A96E62" w:rsidRPr="0066567F" w:rsidRDefault="00A96E62" w:rsidP="00575D3C">
      <w:pPr>
        <w:widowControl w:val="0"/>
        <w:ind w:left="741" w:right="99" w:hanging="741"/>
      </w:pPr>
      <w:proofErr w:type="spellStart"/>
      <w:r w:rsidRPr="0066567F">
        <w:t>Hendrickx</w:t>
      </w:r>
      <w:proofErr w:type="spellEnd"/>
      <w:r w:rsidRPr="0066567F">
        <w:t xml:space="preserve">, S., D. </w:t>
      </w:r>
      <w:proofErr w:type="spellStart"/>
      <w:r w:rsidRPr="0066567F">
        <w:t>Faltings</w:t>
      </w:r>
      <w:proofErr w:type="spellEnd"/>
      <w:r w:rsidRPr="0066567F">
        <w:t xml:space="preserve">, L. Op de </w:t>
      </w:r>
      <w:proofErr w:type="spellStart"/>
      <w:r w:rsidRPr="0066567F">
        <w:t>Beeck</w:t>
      </w:r>
      <w:proofErr w:type="spellEnd"/>
      <w:r w:rsidRPr="0066567F">
        <w:t xml:space="preserve">, D. </w:t>
      </w:r>
      <w:proofErr w:type="spellStart"/>
      <w:r w:rsidRPr="0066567F">
        <w:t>Raue</w:t>
      </w:r>
      <w:proofErr w:type="spellEnd"/>
      <w:r w:rsidRPr="0066567F">
        <w:t xml:space="preserve"> and C. </w:t>
      </w:r>
      <w:proofErr w:type="spellStart"/>
      <w:r w:rsidRPr="0066567F">
        <w:t>Michiels</w:t>
      </w:r>
      <w:proofErr w:type="spellEnd"/>
    </w:p>
    <w:p w:rsidR="00A96E62" w:rsidRPr="0066567F" w:rsidRDefault="00A96E62" w:rsidP="004C0817">
      <w:pPr>
        <w:pStyle w:val="NoSpacing"/>
        <w:ind w:left="720" w:hanging="726"/>
      </w:pPr>
      <w:r w:rsidRPr="0066567F">
        <w:t>2002</w:t>
      </w:r>
      <w:r w:rsidRPr="0066567F">
        <w:tab/>
        <w:t xml:space="preserve">Milk, Beer and Bread Technology during the Early Dynastic Period. </w:t>
      </w:r>
      <w:proofErr w:type="spellStart"/>
      <w:r w:rsidRPr="0066567F">
        <w:rPr>
          <w:i/>
        </w:rPr>
        <w:t>Mitteilungen</w:t>
      </w:r>
      <w:proofErr w:type="spellEnd"/>
      <w:r w:rsidRPr="0066567F">
        <w:rPr>
          <w:i/>
        </w:rPr>
        <w:t xml:space="preserve"> des </w:t>
      </w:r>
      <w:proofErr w:type="spellStart"/>
      <w:r w:rsidR="004C0817" w:rsidRPr="0066567F">
        <w:rPr>
          <w:i/>
        </w:rPr>
        <w:t>Deutschen</w:t>
      </w:r>
      <w:proofErr w:type="spellEnd"/>
      <w:r w:rsidR="004C0817" w:rsidRPr="0066567F">
        <w:rPr>
          <w:i/>
        </w:rPr>
        <w:t xml:space="preserve"> </w:t>
      </w:r>
      <w:proofErr w:type="spellStart"/>
      <w:r w:rsidRPr="0066567F">
        <w:rPr>
          <w:i/>
        </w:rPr>
        <w:t>Archaeologischen</w:t>
      </w:r>
      <w:proofErr w:type="spellEnd"/>
      <w:r w:rsidRPr="0066567F">
        <w:rPr>
          <w:i/>
        </w:rPr>
        <w:t xml:space="preserve"> </w:t>
      </w:r>
      <w:proofErr w:type="spellStart"/>
      <w:r w:rsidRPr="0066567F">
        <w:rPr>
          <w:i/>
        </w:rPr>
        <w:t>Instituts</w:t>
      </w:r>
      <w:proofErr w:type="spellEnd"/>
      <w:r w:rsidRPr="0066567F">
        <w:rPr>
          <w:i/>
        </w:rPr>
        <w:t xml:space="preserve"> </w:t>
      </w:r>
      <w:proofErr w:type="spellStart"/>
      <w:r w:rsidRPr="0066567F">
        <w:rPr>
          <w:i/>
        </w:rPr>
        <w:t>Abteilung</w:t>
      </w:r>
      <w:proofErr w:type="spellEnd"/>
      <w:r w:rsidRPr="0066567F">
        <w:rPr>
          <w:i/>
        </w:rPr>
        <w:t xml:space="preserve"> </w:t>
      </w:r>
      <w:proofErr w:type="spellStart"/>
      <w:r w:rsidRPr="0066567F">
        <w:rPr>
          <w:i/>
        </w:rPr>
        <w:t>Kairo</w:t>
      </w:r>
      <w:proofErr w:type="spellEnd"/>
      <w:r w:rsidRPr="0066567F">
        <w:t xml:space="preserve"> 58:277-304.</w:t>
      </w:r>
    </w:p>
    <w:p w:rsidR="00A96E62" w:rsidRPr="0066567F" w:rsidRDefault="00A96E62" w:rsidP="00A13397">
      <w:pPr>
        <w:widowControl w:val="0"/>
        <w:ind w:left="741" w:right="99"/>
      </w:pPr>
    </w:p>
    <w:p w:rsidR="00A96E62" w:rsidRPr="0066567F" w:rsidRDefault="00A96E62" w:rsidP="00A13397">
      <w:pPr>
        <w:widowControl w:val="0"/>
        <w:ind w:right="99"/>
      </w:pPr>
      <w:r w:rsidRPr="0066567F">
        <w:t xml:space="preserve">Kaiser, W., F. Arnold, M. </w:t>
      </w:r>
      <w:proofErr w:type="spellStart"/>
      <w:r w:rsidRPr="0066567F">
        <w:t>Bommas</w:t>
      </w:r>
      <w:proofErr w:type="spellEnd"/>
      <w:r w:rsidRPr="0066567F">
        <w:t xml:space="preserve">, T. </w:t>
      </w:r>
      <w:proofErr w:type="spellStart"/>
      <w:r w:rsidRPr="0066567F">
        <w:t>Hikade</w:t>
      </w:r>
      <w:proofErr w:type="spellEnd"/>
      <w:r w:rsidRPr="0066567F">
        <w:t xml:space="preserve">, F. Hoffman, H. </w:t>
      </w:r>
      <w:proofErr w:type="spellStart"/>
      <w:r w:rsidRPr="0066567F">
        <w:t>Jaritz</w:t>
      </w:r>
      <w:proofErr w:type="spellEnd"/>
      <w:r w:rsidRPr="0066567F">
        <w:t xml:space="preserve">, P. Kopp, W. </w:t>
      </w:r>
      <w:proofErr w:type="spellStart"/>
      <w:r w:rsidRPr="0066567F">
        <w:t>Niederberger</w:t>
      </w:r>
      <w:proofErr w:type="spellEnd"/>
      <w:r w:rsidRPr="0066567F">
        <w:t xml:space="preserve">, J. </w:t>
      </w:r>
      <w:proofErr w:type="spellStart"/>
      <w:r w:rsidRPr="0066567F">
        <w:t>Paetznick</w:t>
      </w:r>
      <w:proofErr w:type="spellEnd"/>
      <w:r w:rsidRPr="0066567F">
        <w:t xml:space="preserve">, C. Pilgrim, B. Pilgrim, D. </w:t>
      </w:r>
      <w:proofErr w:type="spellStart"/>
      <w:r w:rsidRPr="0066567F">
        <w:t>Raue</w:t>
      </w:r>
      <w:proofErr w:type="spellEnd"/>
      <w:r w:rsidRPr="0066567F">
        <w:t xml:space="preserve">, T. </w:t>
      </w:r>
      <w:proofErr w:type="spellStart"/>
      <w:r w:rsidRPr="0066567F">
        <w:t>Rzeuska</w:t>
      </w:r>
      <w:proofErr w:type="spellEnd"/>
      <w:r w:rsidRPr="0066567F">
        <w:t xml:space="preserve">, S. </w:t>
      </w:r>
      <w:proofErr w:type="spellStart"/>
      <w:r w:rsidRPr="0066567F">
        <w:t>Schaten</w:t>
      </w:r>
      <w:proofErr w:type="spellEnd"/>
      <w:r w:rsidRPr="0066567F">
        <w:t xml:space="preserve">, A. Seiler, L. </w:t>
      </w:r>
      <w:proofErr w:type="spellStart"/>
      <w:r w:rsidRPr="0066567F">
        <w:t>Stadler</w:t>
      </w:r>
      <w:proofErr w:type="spellEnd"/>
      <w:r w:rsidRPr="0066567F">
        <w:t xml:space="preserve"> and M. </w:t>
      </w:r>
      <w:proofErr w:type="spellStart"/>
      <w:r w:rsidRPr="0066567F">
        <w:t>Ziermann</w:t>
      </w:r>
      <w:proofErr w:type="spellEnd"/>
    </w:p>
    <w:p w:rsidR="00A96E62" w:rsidRPr="0066567F" w:rsidRDefault="00A96E62" w:rsidP="00A13397">
      <w:pPr>
        <w:widowControl w:val="0"/>
        <w:ind w:left="720" w:right="99" w:hanging="720"/>
      </w:pPr>
      <w:r w:rsidRPr="0066567F">
        <w:t>1993</w:t>
      </w:r>
      <w:r w:rsidRPr="0066567F">
        <w:tab/>
      </w:r>
      <w:proofErr w:type="spellStart"/>
      <w:r w:rsidRPr="0066567F">
        <w:t>Stadt</w:t>
      </w:r>
      <w:proofErr w:type="spellEnd"/>
      <w:r w:rsidRPr="0066567F">
        <w:t xml:space="preserve"> und </w:t>
      </w:r>
      <w:proofErr w:type="spellStart"/>
      <w:r w:rsidRPr="0066567F">
        <w:t>Tempel</w:t>
      </w:r>
      <w:proofErr w:type="spellEnd"/>
      <w:r w:rsidRPr="0066567F">
        <w:t xml:space="preserve"> von Elephantine 19</w:t>
      </w:r>
      <w:proofErr w:type="gramStart"/>
      <w:r w:rsidRPr="0066567F">
        <w:t>./</w:t>
      </w:r>
      <w:proofErr w:type="gramEnd"/>
      <w:r w:rsidRPr="0066567F">
        <w:t xml:space="preserve">20. </w:t>
      </w:r>
      <w:proofErr w:type="spellStart"/>
      <w:proofErr w:type="gramStart"/>
      <w:r w:rsidRPr="0066567F">
        <w:t>Grabungsbericht</w:t>
      </w:r>
      <w:proofErr w:type="spellEnd"/>
      <w:r w:rsidRPr="0066567F">
        <w:t>.</w:t>
      </w:r>
      <w:proofErr w:type="gramEnd"/>
      <w:r w:rsidRPr="0066567F">
        <w:t xml:space="preserve"> </w:t>
      </w:r>
      <w:proofErr w:type="spellStart"/>
      <w:r w:rsidRPr="0066567F">
        <w:rPr>
          <w:i/>
        </w:rPr>
        <w:t>Mitteilungen</w:t>
      </w:r>
      <w:proofErr w:type="spellEnd"/>
      <w:r w:rsidRPr="0066567F">
        <w:rPr>
          <w:i/>
        </w:rPr>
        <w:t xml:space="preserve"> des </w:t>
      </w:r>
      <w:proofErr w:type="spellStart"/>
      <w:r w:rsidRPr="0066567F">
        <w:rPr>
          <w:i/>
        </w:rPr>
        <w:t>Deutschen</w:t>
      </w:r>
      <w:proofErr w:type="spellEnd"/>
      <w:r w:rsidRPr="0066567F">
        <w:rPr>
          <w:i/>
        </w:rPr>
        <w:t xml:space="preserve"> </w:t>
      </w:r>
      <w:proofErr w:type="spellStart"/>
      <w:r w:rsidRPr="0066567F">
        <w:rPr>
          <w:i/>
        </w:rPr>
        <w:t>Ärchaeologischen</w:t>
      </w:r>
      <w:proofErr w:type="spellEnd"/>
      <w:r w:rsidRPr="0066567F">
        <w:rPr>
          <w:i/>
        </w:rPr>
        <w:t xml:space="preserve"> </w:t>
      </w:r>
      <w:proofErr w:type="spellStart"/>
      <w:r w:rsidRPr="0066567F">
        <w:rPr>
          <w:i/>
        </w:rPr>
        <w:t>Instituts</w:t>
      </w:r>
      <w:proofErr w:type="spellEnd"/>
      <w:r w:rsidRPr="0066567F">
        <w:rPr>
          <w:i/>
        </w:rPr>
        <w:t xml:space="preserve"> </w:t>
      </w:r>
      <w:proofErr w:type="spellStart"/>
      <w:r w:rsidRPr="0066567F">
        <w:rPr>
          <w:i/>
        </w:rPr>
        <w:t>Abteilung</w:t>
      </w:r>
      <w:proofErr w:type="spellEnd"/>
      <w:r w:rsidRPr="0066567F">
        <w:rPr>
          <w:i/>
        </w:rPr>
        <w:t xml:space="preserve"> </w:t>
      </w:r>
      <w:proofErr w:type="spellStart"/>
      <w:r w:rsidRPr="0066567F">
        <w:rPr>
          <w:i/>
        </w:rPr>
        <w:t>Kairo</w:t>
      </w:r>
      <w:proofErr w:type="spellEnd"/>
      <w:r w:rsidRPr="0066567F">
        <w:t xml:space="preserve"> 49:133-200.</w:t>
      </w:r>
    </w:p>
    <w:p w:rsidR="00A96E62" w:rsidRPr="0066567F" w:rsidRDefault="00A96E62" w:rsidP="00A13397">
      <w:pPr>
        <w:widowControl w:val="0"/>
        <w:ind w:left="720" w:right="99" w:hanging="720"/>
      </w:pPr>
      <w:r w:rsidRPr="0066567F">
        <w:t>1999</w:t>
      </w:r>
      <w:r w:rsidRPr="0066567F">
        <w:tab/>
      </w:r>
      <w:proofErr w:type="spellStart"/>
      <w:r w:rsidRPr="0066567F">
        <w:t>Stadt</w:t>
      </w:r>
      <w:proofErr w:type="spellEnd"/>
      <w:r w:rsidRPr="0066567F">
        <w:t xml:space="preserve"> und </w:t>
      </w:r>
      <w:proofErr w:type="spellStart"/>
      <w:r w:rsidRPr="0066567F">
        <w:t>Tempel</w:t>
      </w:r>
      <w:proofErr w:type="spellEnd"/>
      <w:r w:rsidRPr="0066567F">
        <w:t xml:space="preserve"> von Elephantine 25./26./27. </w:t>
      </w:r>
      <w:proofErr w:type="spellStart"/>
      <w:proofErr w:type="gramStart"/>
      <w:r w:rsidRPr="0066567F">
        <w:t>Grabungsbericht</w:t>
      </w:r>
      <w:proofErr w:type="spellEnd"/>
      <w:r w:rsidRPr="0066567F">
        <w:t>.</w:t>
      </w:r>
      <w:proofErr w:type="gramEnd"/>
      <w:r w:rsidRPr="0066567F">
        <w:t xml:space="preserve"> </w:t>
      </w:r>
      <w:proofErr w:type="spellStart"/>
      <w:r w:rsidRPr="0066567F">
        <w:rPr>
          <w:i/>
        </w:rPr>
        <w:t>Mitteilungen</w:t>
      </w:r>
      <w:proofErr w:type="spellEnd"/>
      <w:r w:rsidRPr="0066567F">
        <w:rPr>
          <w:i/>
        </w:rPr>
        <w:t xml:space="preserve"> des </w:t>
      </w:r>
      <w:proofErr w:type="spellStart"/>
      <w:r w:rsidRPr="0066567F">
        <w:rPr>
          <w:i/>
        </w:rPr>
        <w:t>Deutschen</w:t>
      </w:r>
      <w:proofErr w:type="spellEnd"/>
      <w:r w:rsidRPr="0066567F">
        <w:rPr>
          <w:i/>
        </w:rPr>
        <w:t xml:space="preserve"> </w:t>
      </w:r>
      <w:proofErr w:type="spellStart"/>
      <w:r w:rsidRPr="0066567F">
        <w:rPr>
          <w:i/>
        </w:rPr>
        <w:t>Ärchaeologischen</w:t>
      </w:r>
      <w:proofErr w:type="spellEnd"/>
      <w:r w:rsidRPr="0066567F">
        <w:rPr>
          <w:i/>
        </w:rPr>
        <w:t xml:space="preserve"> </w:t>
      </w:r>
      <w:proofErr w:type="spellStart"/>
      <w:r w:rsidRPr="0066567F">
        <w:rPr>
          <w:i/>
        </w:rPr>
        <w:t>Instituts</w:t>
      </w:r>
      <w:proofErr w:type="spellEnd"/>
      <w:r w:rsidRPr="0066567F">
        <w:rPr>
          <w:i/>
        </w:rPr>
        <w:t xml:space="preserve"> </w:t>
      </w:r>
      <w:proofErr w:type="spellStart"/>
      <w:r w:rsidRPr="0066567F">
        <w:rPr>
          <w:i/>
        </w:rPr>
        <w:t>Abteilung</w:t>
      </w:r>
      <w:proofErr w:type="spellEnd"/>
      <w:r w:rsidRPr="0066567F">
        <w:rPr>
          <w:i/>
        </w:rPr>
        <w:t xml:space="preserve"> </w:t>
      </w:r>
      <w:proofErr w:type="spellStart"/>
      <w:r w:rsidRPr="0066567F">
        <w:rPr>
          <w:i/>
        </w:rPr>
        <w:t>Kairo</w:t>
      </w:r>
      <w:proofErr w:type="spellEnd"/>
      <w:r w:rsidRPr="0066567F">
        <w:t xml:space="preserve"> 55:63-237.</w:t>
      </w:r>
    </w:p>
    <w:p w:rsidR="00A96E62" w:rsidRPr="0066567F" w:rsidRDefault="00A96E62" w:rsidP="007C1A33">
      <w:pPr>
        <w:pStyle w:val="NoSpacing"/>
      </w:pPr>
    </w:p>
    <w:p w:rsidR="00A96E62" w:rsidRPr="0066567F" w:rsidRDefault="00A96E62" w:rsidP="007C1A33">
      <w:pPr>
        <w:pStyle w:val="NoSpacing"/>
      </w:pPr>
      <w:r w:rsidRPr="0066567F">
        <w:t>Kemp, B.</w:t>
      </w:r>
    </w:p>
    <w:p w:rsidR="00A96E62" w:rsidRPr="0066567F" w:rsidRDefault="00A96E62" w:rsidP="007C1A33">
      <w:pPr>
        <w:pStyle w:val="NoSpacing"/>
      </w:pPr>
      <w:r w:rsidRPr="0066567F">
        <w:t>1989</w:t>
      </w:r>
      <w:r w:rsidRPr="0066567F">
        <w:tab/>
      </w:r>
      <w:r w:rsidRPr="0066567F">
        <w:rPr>
          <w:i/>
        </w:rPr>
        <w:t>Ancient Egypt:  Anatomy of a Civilization</w:t>
      </w:r>
      <w:r w:rsidRPr="0066567F">
        <w:t xml:space="preserve">. </w:t>
      </w:r>
      <w:proofErr w:type="spellStart"/>
      <w:r w:rsidRPr="0066567F">
        <w:t>Routledge</w:t>
      </w:r>
      <w:proofErr w:type="spellEnd"/>
      <w:r w:rsidRPr="0066567F">
        <w:t>, London.</w:t>
      </w:r>
    </w:p>
    <w:p w:rsidR="00A96E62" w:rsidRPr="0066567F" w:rsidRDefault="00A96E62" w:rsidP="00FA7FD4">
      <w:pPr>
        <w:widowControl w:val="0"/>
        <w:ind w:left="741" w:right="99"/>
      </w:pPr>
    </w:p>
    <w:p w:rsidR="00A96E62" w:rsidRPr="0066567F" w:rsidRDefault="00A96E62" w:rsidP="00FA7FD4">
      <w:pPr>
        <w:widowControl w:val="0"/>
        <w:ind w:right="99"/>
      </w:pPr>
      <w:proofErr w:type="spellStart"/>
      <w:r w:rsidRPr="0066567F">
        <w:t>Lehner</w:t>
      </w:r>
      <w:proofErr w:type="spellEnd"/>
      <w:r w:rsidRPr="0066567F">
        <w:t>, M.</w:t>
      </w:r>
    </w:p>
    <w:p w:rsidR="00A96E62" w:rsidRPr="0066567F" w:rsidRDefault="00A96E62" w:rsidP="00FA7FD4">
      <w:pPr>
        <w:widowControl w:val="0"/>
        <w:ind w:left="720" w:right="99" w:hanging="720"/>
      </w:pPr>
      <w:r w:rsidRPr="0066567F">
        <w:t>1992</w:t>
      </w:r>
      <w:r w:rsidRPr="0066567F">
        <w:tab/>
        <w:t xml:space="preserve">Excavations at Giza 1988-1991: The Location and Importance of the Pyramid Settlement. </w:t>
      </w:r>
      <w:r w:rsidRPr="0066567F">
        <w:rPr>
          <w:i/>
        </w:rPr>
        <w:t>The Oriental Institute News and Notes</w:t>
      </w:r>
      <w:r w:rsidRPr="0066567F">
        <w:t xml:space="preserve"> 135:1-7.</w:t>
      </w:r>
    </w:p>
    <w:p w:rsidR="00A96E62" w:rsidRPr="0066567F" w:rsidRDefault="00A96E62" w:rsidP="00A446FD">
      <w:pPr>
        <w:pStyle w:val="NoSpacing"/>
        <w:ind w:left="720" w:hanging="720"/>
      </w:pPr>
      <w:r w:rsidRPr="0066567F">
        <w:t>1997</w:t>
      </w:r>
      <w:r w:rsidRPr="0066567F">
        <w:tab/>
      </w:r>
      <w:r w:rsidRPr="0066567F">
        <w:rPr>
          <w:i/>
        </w:rPr>
        <w:t>The Complete Pyramids</w:t>
      </w:r>
      <w:r w:rsidRPr="0066567F">
        <w:t xml:space="preserve">. </w:t>
      </w:r>
      <w:proofErr w:type="gramStart"/>
      <w:r w:rsidRPr="0066567F">
        <w:t>Thames  and</w:t>
      </w:r>
      <w:proofErr w:type="gramEnd"/>
      <w:r w:rsidRPr="0066567F">
        <w:t xml:space="preserve"> Hudson, London.</w:t>
      </w:r>
    </w:p>
    <w:p w:rsidR="00A96E62" w:rsidRPr="0066567F" w:rsidRDefault="00A96E62" w:rsidP="00FA7FD4">
      <w:pPr>
        <w:pStyle w:val="NoSpacing"/>
        <w:ind w:left="720" w:hanging="720"/>
      </w:pPr>
      <w:r w:rsidRPr="0066567F">
        <w:t>2000</w:t>
      </w:r>
      <w:r w:rsidRPr="0066567F">
        <w:tab/>
        <w:t>Fractal House of Pharaoh:  Ancient Egypt as a Complex Adaptive System, a Trial Formulation</w:t>
      </w:r>
      <w:r w:rsidRPr="0066567F">
        <w:rPr>
          <w:i/>
        </w:rPr>
        <w:t>.</w:t>
      </w:r>
      <w:r w:rsidRPr="0066567F">
        <w:t xml:space="preserve"> </w:t>
      </w:r>
      <w:proofErr w:type="gramStart"/>
      <w:r w:rsidRPr="0066567F">
        <w:t xml:space="preserve">In </w:t>
      </w:r>
      <w:r w:rsidRPr="0066567F">
        <w:rPr>
          <w:i/>
        </w:rPr>
        <w:t>Dynamics in Human and Primate Societies</w:t>
      </w:r>
      <w:r w:rsidRPr="0066567F">
        <w:t xml:space="preserve">, edited by T. Kohler and G. </w:t>
      </w:r>
      <w:proofErr w:type="spellStart"/>
      <w:r w:rsidRPr="0066567F">
        <w:t>Gummerman</w:t>
      </w:r>
      <w:proofErr w:type="spellEnd"/>
      <w:r w:rsidRPr="0066567F">
        <w:t>, pp. 275-353.</w:t>
      </w:r>
      <w:proofErr w:type="gramEnd"/>
      <w:r w:rsidRPr="0066567F">
        <w:t xml:space="preserve"> Oxford University Press, New York.</w:t>
      </w:r>
    </w:p>
    <w:p w:rsidR="00A96E62" w:rsidRPr="0066567F" w:rsidRDefault="00A96E62" w:rsidP="000D1690">
      <w:pPr>
        <w:widowControl w:val="0"/>
        <w:ind w:left="741" w:right="99"/>
      </w:pPr>
    </w:p>
    <w:p w:rsidR="00044D32" w:rsidRPr="0066567F" w:rsidRDefault="00044D32" w:rsidP="00044D32">
      <w:pPr>
        <w:widowControl w:val="0"/>
        <w:ind w:right="99"/>
      </w:pPr>
      <w:proofErr w:type="spellStart"/>
      <w:r w:rsidRPr="0066567F">
        <w:t>Longacre</w:t>
      </w:r>
      <w:proofErr w:type="spellEnd"/>
      <w:r w:rsidRPr="0066567F">
        <w:t>, W.</w:t>
      </w:r>
    </w:p>
    <w:p w:rsidR="00044D32" w:rsidRPr="0066567F" w:rsidRDefault="00044D32" w:rsidP="001E59AA">
      <w:pPr>
        <w:widowControl w:val="0"/>
        <w:ind w:left="720" w:right="99" w:hanging="720"/>
      </w:pPr>
      <w:r w:rsidRPr="0066567F">
        <w:t>1999</w:t>
      </w:r>
      <w:r w:rsidRPr="0066567F">
        <w:tab/>
        <w:t xml:space="preserve">Standardization and Specialization:  What's the link? </w:t>
      </w:r>
      <w:proofErr w:type="gramStart"/>
      <w:r w:rsidRPr="0066567F">
        <w:t xml:space="preserve">In </w:t>
      </w:r>
      <w:r w:rsidRPr="0066567F">
        <w:rPr>
          <w:i/>
        </w:rPr>
        <w:t>Pottery and People</w:t>
      </w:r>
      <w:r w:rsidRPr="0066567F">
        <w:t xml:space="preserve">, edited by J. </w:t>
      </w:r>
      <w:proofErr w:type="spellStart"/>
      <w:r w:rsidRPr="0066567F">
        <w:t>Skibo</w:t>
      </w:r>
      <w:proofErr w:type="spellEnd"/>
      <w:r w:rsidRPr="0066567F">
        <w:t xml:space="preserve"> and G. </w:t>
      </w:r>
      <w:proofErr w:type="spellStart"/>
      <w:r w:rsidRPr="0066567F">
        <w:t>Feinman</w:t>
      </w:r>
      <w:proofErr w:type="spellEnd"/>
      <w:r w:rsidRPr="0066567F">
        <w:t>.</w:t>
      </w:r>
      <w:proofErr w:type="gramEnd"/>
      <w:r w:rsidRPr="0066567F">
        <w:t xml:space="preserve"> University of Utah Press, Salt Lake City.</w:t>
      </w:r>
    </w:p>
    <w:p w:rsidR="00044D32" w:rsidRPr="0066567F" w:rsidRDefault="00044D32" w:rsidP="00BB11EB">
      <w:pPr>
        <w:widowControl w:val="0"/>
        <w:ind w:right="99"/>
      </w:pPr>
    </w:p>
    <w:p w:rsidR="00A96E62" w:rsidRPr="0066567F" w:rsidRDefault="00A96E62" w:rsidP="00BB11EB">
      <w:pPr>
        <w:widowControl w:val="0"/>
        <w:ind w:right="99"/>
      </w:pPr>
      <w:r w:rsidRPr="0066567F">
        <w:t xml:space="preserve">O'Brien, M., J. </w:t>
      </w:r>
      <w:proofErr w:type="spellStart"/>
      <w:r w:rsidRPr="0066567F">
        <w:t>Darwent</w:t>
      </w:r>
      <w:proofErr w:type="spellEnd"/>
      <w:r w:rsidRPr="0066567F">
        <w:t xml:space="preserve"> and L. Lyman</w:t>
      </w:r>
    </w:p>
    <w:p w:rsidR="00A96E62" w:rsidRDefault="00A96E62" w:rsidP="00BB11EB">
      <w:pPr>
        <w:widowControl w:val="0"/>
        <w:ind w:left="720" w:right="99" w:hanging="720"/>
      </w:pPr>
      <w:r w:rsidRPr="0066567F">
        <w:t>2001</w:t>
      </w:r>
      <w:r w:rsidRPr="0066567F">
        <w:tab/>
      </w:r>
      <w:proofErr w:type="spellStart"/>
      <w:r w:rsidRPr="0066567F">
        <w:t>Cladistics</w:t>
      </w:r>
      <w:proofErr w:type="spellEnd"/>
      <w:r w:rsidRPr="0066567F">
        <w:t xml:space="preserve"> Is Useful for Reconstructing Archaeological Phylogenies: </w:t>
      </w:r>
      <w:proofErr w:type="spellStart"/>
      <w:r w:rsidRPr="0066567F">
        <w:t>Palaeoindian</w:t>
      </w:r>
      <w:proofErr w:type="spellEnd"/>
      <w:r w:rsidRPr="0066567F">
        <w:t xml:space="preserve"> Points from the Southeastern United States. </w:t>
      </w:r>
      <w:r w:rsidRPr="0066567F">
        <w:rPr>
          <w:i/>
        </w:rPr>
        <w:t>Journal of Archaeological Science</w:t>
      </w:r>
      <w:r w:rsidRPr="0066567F">
        <w:t xml:space="preserve"> 28:1115-1136.</w:t>
      </w:r>
    </w:p>
    <w:p w:rsidR="00522894" w:rsidRDefault="00522894" w:rsidP="00BB11EB">
      <w:pPr>
        <w:widowControl w:val="0"/>
        <w:ind w:left="720" w:right="99" w:hanging="720"/>
      </w:pPr>
    </w:p>
    <w:p w:rsidR="00522894" w:rsidRDefault="00522894" w:rsidP="00BB11EB">
      <w:pPr>
        <w:widowControl w:val="0"/>
        <w:ind w:left="720" w:right="99" w:hanging="720"/>
      </w:pPr>
      <w:proofErr w:type="gramStart"/>
      <w:r>
        <w:t xml:space="preserve">Op de </w:t>
      </w:r>
      <w:proofErr w:type="spellStart"/>
      <w:r>
        <w:t>Beeck</w:t>
      </w:r>
      <w:proofErr w:type="spellEnd"/>
      <w:r>
        <w:t>, A.</w:t>
      </w:r>
      <w:proofErr w:type="gramEnd"/>
      <w:r>
        <w:t xml:space="preserve"> </w:t>
      </w:r>
    </w:p>
    <w:p w:rsidR="00522894" w:rsidRDefault="00522894" w:rsidP="00522894">
      <w:pPr>
        <w:widowControl w:val="0"/>
        <w:ind w:left="720" w:right="99" w:hanging="720"/>
      </w:pPr>
      <w:r>
        <w:t>2004</w:t>
      </w:r>
      <w:r>
        <w:tab/>
        <w:t xml:space="preserve">Possibilities and restrictions for the use of </w:t>
      </w:r>
      <w:proofErr w:type="spellStart"/>
      <w:r>
        <w:t>Maidum</w:t>
      </w:r>
      <w:proofErr w:type="spellEnd"/>
      <w:r>
        <w:t xml:space="preserve"> </w:t>
      </w:r>
      <w:proofErr w:type="gramStart"/>
      <w:r>
        <w:t>bowls</w:t>
      </w:r>
      <w:proofErr w:type="gramEnd"/>
      <w:r>
        <w:t xml:space="preserve"> as chronological indicators. In </w:t>
      </w:r>
      <w:r>
        <w:rPr>
          <w:i/>
        </w:rPr>
        <w:t xml:space="preserve">Cahiers de la </w:t>
      </w:r>
      <w:proofErr w:type="spellStart"/>
      <w:r>
        <w:rPr>
          <w:i/>
        </w:rPr>
        <w:t>Céramique</w:t>
      </w:r>
      <w:proofErr w:type="spellEnd"/>
      <w:r>
        <w:rPr>
          <w:i/>
        </w:rPr>
        <w:t xml:space="preserve"> </w:t>
      </w:r>
      <w:proofErr w:type="spellStart"/>
      <w:r>
        <w:rPr>
          <w:i/>
        </w:rPr>
        <w:t>E</w:t>
      </w:r>
      <w:r w:rsidRPr="00522894">
        <w:rPr>
          <w:i/>
        </w:rPr>
        <w:t>gyptienne</w:t>
      </w:r>
      <w:proofErr w:type="spellEnd"/>
      <w:r>
        <w:rPr>
          <w:i/>
        </w:rPr>
        <w:t>,</w:t>
      </w:r>
      <w:r>
        <w:t xml:space="preserve"> Vol. 7, pp. 239-274. </w:t>
      </w:r>
      <w:proofErr w:type="gramStart"/>
      <w:r w:rsidRPr="0066567F">
        <w:t xml:space="preserve">Publications de </w:t>
      </w:r>
      <w:proofErr w:type="spellStart"/>
      <w:r w:rsidRPr="0066567F">
        <w:t>l'institute</w:t>
      </w:r>
      <w:proofErr w:type="spellEnd"/>
      <w:r w:rsidRPr="0066567F">
        <w:t xml:space="preserve"> </w:t>
      </w:r>
      <w:proofErr w:type="spellStart"/>
      <w:r w:rsidRPr="0066567F">
        <w:t>Français</w:t>
      </w:r>
      <w:proofErr w:type="spellEnd"/>
      <w:r w:rsidRPr="0066567F">
        <w:t xml:space="preserve"> </w:t>
      </w:r>
      <w:proofErr w:type="spellStart"/>
      <w:r w:rsidRPr="0066567F">
        <w:t>d'archaéologie</w:t>
      </w:r>
      <w:proofErr w:type="spellEnd"/>
      <w:r w:rsidRPr="0066567F">
        <w:t xml:space="preserve"> </w:t>
      </w:r>
      <w:proofErr w:type="spellStart"/>
      <w:r w:rsidRPr="0066567F">
        <w:t>orientale</w:t>
      </w:r>
      <w:proofErr w:type="spellEnd"/>
      <w:r w:rsidRPr="0066567F">
        <w:t xml:space="preserve">, Le </w:t>
      </w:r>
      <w:proofErr w:type="spellStart"/>
      <w:r w:rsidRPr="0066567F">
        <w:t>Caire</w:t>
      </w:r>
      <w:proofErr w:type="spellEnd"/>
      <w:r w:rsidRPr="0066567F">
        <w:t>.</w:t>
      </w:r>
      <w:proofErr w:type="gramEnd"/>
    </w:p>
    <w:p w:rsidR="00522894" w:rsidRPr="0066567F" w:rsidRDefault="00522894" w:rsidP="000D1690">
      <w:pPr>
        <w:widowControl w:val="0"/>
        <w:ind w:right="99"/>
      </w:pPr>
    </w:p>
    <w:p w:rsidR="00A96E62" w:rsidRPr="0066567F" w:rsidRDefault="00A96E62" w:rsidP="000D1690">
      <w:pPr>
        <w:widowControl w:val="0"/>
        <w:ind w:right="99"/>
      </w:pPr>
      <w:r w:rsidRPr="0066567F">
        <w:t xml:space="preserve">Orton, C., P. </w:t>
      </w:r>
      <w:proofErr w:type="spellStart"/>
      <w:r w:rsidRPr="0066567F">
        <w:t>Tylers</w:t>
      </w:r>
      <w:proofErr w:type="spellEnd"/>
      <w:r w:rsidRPr="0066567F">
        <w:t xml:space="preserve"> and A. Vince</w:t>
      </w:r>
    </w:p>
    <w:p w:rsidR="00A96E62" w:rsidRPr="0066567F" w:rsidRDefault="00A96E62" w:rsidP="000D1690">
      <w:pPr>
        <w:widowControl w:val="0"/>
        <w:ind w:right="99"/>
      </w:pPr>
      <w:r w:rsidRPr="0066567F">
        <w:t>1993</w:t>
      </w:r>
      <w:r w:rsidRPr="0066567F">
        <w:tab/>
      </w:r>
      <w:r w:rsidRPr="0066567F">
        <w:rPr>
          <w:i/>
        </w:rPr>
        <w:t>Pottery in Archaeology</w:t>
      </w:r>
      <w:r w:rsidRPr="0066567F">
        <w:t>. Cambridge University Press, Cambridge.</w:t>
      </w:r>
    </w:p>
    <w:p w:rsidR="00A96E62" w:rsidRPr="0066567F" w:rsidRDefault="00A96E62" w:rsidP="00F920D0">
      <w:pPr>
        <w:pStyle w:val="NoSpacing"/>
      </w:pPr>
    </w:p>
    <w:p w:rsidR="00A96E62" w:rsidRPr="0066567F" w:rsidRDefault="00A96E62" w:rsidP="00F920D0">
      <w:pPr>
        <w:pStyle w:val="NoSpacing"/>
      </w:pPr>
      <w:r w:rsidRPr="0066567F">
        <w:t>Petrie, W.</w:t>
      </w:r>
    </w:p>
    <w:p w:rsidR="00A96E62" w:rsidRPr="0066567F" w:rsidRDefault="00A96E62" w:rsidP="007C1A33">
      <w:pPr>
        <w:pStyle w:val="NoSpacing"/>
      </w:pPr>
      <w:r w:rsidRPr="0066567F">
        <w:t>1892</w:t>
      </w:r>
      <w:r w:rsidRPr="0066567F">
        <w:tab/>
      </w:r>
      <w:proofErr w:type="spellStart"/>
      <w:r w:rsidRPr="0066567F">
        <w:rPr>
          <w:i/>
        </w:rPr>
        <w:t>Meydum</w:t>
      </w:r>
      <w:proofErr w:type="spellEnd"/>
      <w:r w:rsidRPr="0066567F">
        <w:t xml:space="preserve">. </w:t>
      </w:r>
      <w:proofErr w:type="gramStart"/>
      <w:r w:rsidRPr="0066567F">
        <w:t>British School of Archaeology in Egypt, London.</w:t>
      </w:r>
      <w:proofErr w:type="gramEnd"/>
    </w:p>
    <w:p w:rsidR="00A96E62" w:rsidRPr="0066567F" w:rsidRDefault="00A96E62" w:rsidP="00D44623">
      <w:pPr>
        <w:pStyle w:val="NoSpacing"/>
      </w:pPr>
      <w:r w:rsidRPr="0066567F">
        <w:t>1898</w:t>
      </w:r>
      <w:r w:rsidRPr="0066567F">
        <w:tab/>
      </w:r>
      <w:proofErr w:type="spellStart"/>
      <w:r w:rsidRPr="0066567F">
        <w:rPr>
          <w:i/>
        </w:rPr>
        <w:t>Denderah</w:t>
      </w:r>
      <w:proofErr w:type="spellEnd"/>
      <w:r w:rsidRPr="0066567F">
        <w:t xml:space="preserve">. </w:t>
      </w:r>
      <w:proofErr w:type="gramStart"/>
      <w:r w:rsidRPr="0066567F">
        <w:t>British School of Archaeology in Egypt, London.</w:t>
      </w:r>
      <w:proofErr w:type="gramEnd"/>
    </w:p>
    <w:p w:rsidR="00A96E62" w:rsidRPr="0066567F" w:rsidRDefault="00A96E62" w:rsidP="006163DF">
      <w:pPr>
        <w:widowControl w:val="0"/>
        <w:ind w:left="741" w:right="99"/>
      </w:pPr>
    </w:p>
    <w:p w:rsidR="00A96E62" w:rsidRPr="0066567F" w:rsidRDefault="00A96E62" w:rsidP="006163DF">
      <w:pPr>
        <w:widowControl w:val="0"/>
        <w:ind w:right="99"/>
      </w:pPr>
      <w:r w:rsidRPr="0066567F">
        <w:t>Pierce, C.</w:t>
      </w:r>
    </w:p>
    <w:p w:rsidR="00A96E62" w:rsidRPr="0066567F" w:rsidRDefault="00A96E62" w:rsidP="006163DF">
      <w:pPr>
        <w:pStyle w:val="NoSpacing"/>
        <w:ind w:left="720" w:hanging="720"/>
      </w:pPr>
      <w:r w:rsidRPr="0066567F">
        <w:t>1998</w:t>
      </w:r>
      <w:r w:rsidRPr="0066567F">
        <w:tab/>
        <w:t>Theory, Measurement, and Explanation:  Variable Shapes in Poverty Point Objects</w:t>
      </w:r>
      <w:r w:rsidRPr="0066567F">
        <w:rPr>
          <w:i/>
        </w:rPr>
        <w:t>.</w:t>
      </w:r>
      <w:r w:rsidRPr="0066567F">
        <w:t xml:space="preserve"> </w:t>
      </w:r>
      <w:proofErr w:type="gramStart"/>
      <w:r w:rsidRPr="0066567F">
        <w:t xml:space="preserve">In </w:t>
      </w:r>
      <w:r w:rsidRPr="0066567F">
        <w:rPr>
          <w:i/>
        </w:rPr>
        <w:t>Unit Issues in Archaeology</w:t>
      </w:r>
      <w:r w:rsidRPr="0066567F">
        <w:t xml:space="preserve">, edited by A. </w:t>
      </w:r>
      <w:proofErr w:type="spellStart"/>
      <w:r w:rsidRPr="0066567F">
        <w:t>Ramenofsky</w:t>
      </w:r>
      <w:proofErr w:type="spellEnd"/>
      <w:r w:rsidRPr="0066567F">
        <w:t xml:space="preserve"> and A. Steffen, pp. 163-190.</w:t>
      </w:r>
      <w:proofErr w:type="gramEnd"/>
      <w:r w:rsidRPr="0066567F">
        <w:t xml:space="preserve"> University of Utah Press, Salt Lake City.</w:t>
      </w:r>
    </w:p>
    <w:p w:rsidR="00A96E62" w:rsidRPr="0066567F" w:rsidRDefault="00A96E62" w:rsidP="00F328A5">
      <w:pPr>
        <w:widowControl w:val="0"/>
        <w:ind w:right="99"/>
      </w:pPr>
    </w:p>
    <w:p w:rsidR="002B6CEA" w:rsidRPr="0066567F" w:rsidRDefault="002B6CEA" w:rsidP="00F328A5">
      <w:pPr>
        <w:widowControl w:val="0"/>
        <w:ind w:right="99"/>
      </w:pPr>
    </w:p>
    <w:p w:rsidR="002B6CEA" w:rsidRPr="0066567F" w:rsidRDefault="002B6CEA" w:rsidP="00F328A5">
      <w:pPr>
        <w:widowControl w:val="0"/>
        <w:ind w:right="99"/>
      </w:pPr>
    </w:p>
    <w:p w:rsidR="00A96E62" w:rsidRPr="0066567F" w:rsidRDefault="00A96E62" w:rsidP="00F328A5">
      <w:pPr>
        <w:widowControl w:val="0"/>
        <w:ind w:right="99"/>
      </w:pPr>
      <w:r w:rsidRPr="0066567F">
        <w:t>Read, D. W.</w:t>
      </w:r>
    </w:p>
    <w:p w:rsidR="00A96E62" w:rsidRPr="0066567F" w:rsidRDefault="00A96E62" w:rsidP="00F328A5">
      <w:pPr>
        <w:pStyle w:val="NoSpacing"/>
        <w:ind w:left="720" w:hanging="720"/>
      </w:pPr>
      <w:r w:rsidRPr="0066567F">
        <w:t>1982</w:t>
      </w:r>
      <w:r w:rsidRPr="0066567F">
        <w:tab/>
        <w:t>Toward a Theory of Artifact Classification</w:t>
      </w:r>
      <w:r w:rsidRPr="0066567F">
        <w:rPr>
          <w:i/>
        </w:rPr>
        <w:t>.</w:t>
      </w:r>
      <w:r w:rsidRPr="0066567F">
        <w:t xml:space="preserve"> </w:t>
      </w:r>
      <w:proofErr w:type="gramStart"/>
      <w:r w:rsidRPr="0066567F">
        <w:t xml:space="preserve">In </w:t>
      </w:r>
      <w:r w:rsidRPr="0066567F">
        <w:rPr>
          <w:i/>
        </w:rPr>
        <w:t>Essays on Archaeological Typology</w:t>
      </w:r>
      <w:r w:rsidRPr="0066567F">
        <w:t xml:space="preserve">, edited by R. </w:t>
      </w:r>
      <w:proofErr w:type="spellStart"/>
      <w:r w:rsidRPr="0066567F">
        <w:t>Whallon</w:t>
      </w:r>
      <w:proofErr w:type="spellEnd"/>
      <w:r w:rsidRPr="0066567F">
        <w:t xml:space="preserve"> and J. Brown, pp. 56-92.</w:t>
      </w:r>
      <w:proofErr w:type="gramEnd"/>
      <w:r w:rsidRPr="0066567F">
        <w:t xml:space="preserve"> </w:t>
      </w:r>
      <w:proofErr w:type="gramStart"/>
      <w:r w:rsidRPr="0066567F">
        <w:t>Center for American Archaeology Press, Evanston.</w:t>
      </w:r>
      <w:proofErr w:type="gramEnd"/>
    </w:p>
    <w:p w:rsidR="00A96E62" w:rsidRPr="0066567F" w:rsidRDefault="00A96E62" w:rsidP="00D44623">
      <w:pPr>
        <w:pStyle w:val="NoSpacing"/>
      </w:pPr>
    </w:p>
    <w:p w:rsidR="00A96E62" w:rsidRPr="0066567F" w:rsidRDefault="00A96E62" w:rsidP="00D44623">
      <w:pPr>
        <w:pStyle w:val="NoSpacing"/>
      </w:pPr>
      <w:proofErr w:type="spellStart"/>
      <w:r w:rsidRPr="0066567F">
        <w:t>Reisner</w:t>
      </w:r>
      <w:proofErr w:type="spellEnd"/>
      <w:r w:rsidRPr="0066567F">
        <w:t>, G.</w:t>
      </w:r>
    </w:p>
    <w:p w:rsidR="00A96E62" w:rsidRPr="0066567F" w:rsidRDefault="00A96E62" w:rsidP="00D44623">
      <w:pPr>
        <w:pStyle w:val="NoSpacing"/>
      </w:pPr>
      <w:r w:rsidRPr="0066567F">
        <w:t>1931</w:t>
      </w:r>
      <w:r w:rsidRPr="0066567F">
        <w:tab/>
      </w:r>
      <w:r w:rsidRPr="0066567F">
        <w:rPr>
          <w:i/>
        </w:rPr>
        <w:t>A History of the Giza Necropolis</w:t>
      </w:r>
      <w:r w:rsidRPr="0066567F">
        <w:t xml:space="preserve"> 1. Harvard University Press, Cambridge.</w:t>
      </w:r>
    </w:p>
    <w:p w:rsidR="00A96E62" w:rsidRPr="0066567F" w:rsidRDefault="00A96E62" w:rsidP="005804F8">
      <w:pPr>
        <w:widowControl w:val="0"/>
        <w:ind w:right="99"/>
      </w:pPr>
    </w:p>
    <w:p w:rsidR="00A96E62" w:rsidRPr="0066567F" w:rsidRDefault="00A96E62" w:rsidP="005804F8">
      <w:pPr>
        <w:widowControl w:val="0"/>
        <w:ind w:right="99"/>
      </w:pPr>
      <w:proofErr w:type="spellStart"/>
      <w:r w:rsidRPr="0066567F">
        <w:t>Reisner</w:t>
      </w:r>
      <w:proofErr w:type="spellEnd"/>
      <w:r w:rsidRPr="0066567F">
        <w:t>, G. O. and W. S. Smith</w:t>
      </w:r>
    </w:p>
    <w:p w:rsidR="00A96E62" w:rsidRPr="0066567F" w:rsidRDefault="00A96E62" w:rsidP="004E2F43">
      <w:pPr>
        <w:pStyle w:val="NoSpacing"/>
      </w:pPr>
      <w:r w:rsidRPr="0066567F">
        <w:t>1955</w:t>
      </w:r>
      <w:r w:rsidRPr="0066567F">
        <w:tab/>
      </w:r>
      <w:r w:rsidRPr="0066567F">
        <w:rPr>
          <w:i/>
        </w:rPr>
        <w:t>A History of the Giza Necropolis</w:t>
      </w:r>
      <w:r w:rsidRPr="0066567F">
        <w:t xml:space="preserve"> 2. </w:t>
      </w:r>
      <w:proofErr w:type="gramStart"/>
      <w:r w:rsidRPr="0066567F">
        <w:t>2 vols. Harvard University Press.</w:t>
      </w:r>
      <w:proofErr w:type="gramEnd"/>
      <w:r w:rsidRPr="0066567F">
        <w:t xml:space="preserve"> </w:t>
      </w:r>
    </w:p>
    <w:p w:rsidR="00A96E62" w:rsidRPr="0066567F" w:rsidRDefault="00A96E62" w:rsidP="00B61DE5">
      <w:pPr>
        <w:widowControl w:val="0"/>
        <w:ind w:right="99"/>
      </w:pPr>
    </w:p>
    <w:p w:rsidR="00A96E62" w:rsidRPr="0066567F" w:rsidRDefault="00A96E62" w:rsidP="00B61DE5">
      <w:pPr>
        <w:widowControl w:val="0"/>
        <w:ind w:right="99"/>
      </w:pPr>
      <w:r w:rsidRPr="0066567F">
        <w:t>Rice, P.</w:t>
      </w:r>
    </w:p>
    <w:p w:rsidR="00A96E62" w:rsidRPr="0066567F" w:rsidRDefault="00A96E62" w:rsidP="00B61DE5">
      <w:pPr>
        <w:pStyle w:val="NoSpacing"/>
      </w:pPr>
      <w:r w:rsidRPr="0066567F">
        <w:t>1987</w:t>
      </w:r>
      <w:r w:rsidRPr="0066567F">
        <w:tab/>
      </w:r>
      <w:r w:rsidRPr="0066567F">
        <w:rPr>
          <w:i/>
        </w:rPr>
        <w:t>Pottery Analysis:  A Sourcebook</w:t>
      </w:r>
      <w:r w:rsidRPr="0066567F">
        <w:t>. University of Chicago Press, Chicago.</w:t>
      </w:r>
    </w:p>
    <w:p w:rsidR="00A96E62" w:rsidRPr="0066567F" w:rsidRDefault="00A96E62" w:rsidP="004E2F43">
      <w:pPr>
        <w:pStyle w:val="NoSpacing"/>
      </w:pPr>
    </w:p>
    <w:p w:rsidR="00A96E62" w:rsidRPr="0066567F" w:rsidRDefault="00A96E62" w:rsidP="004E2F43">
      <w:pPr>
        <w:pStyle w:val="NoSpacing"/>
      </w:pPr>
      <w:proofErr w:type="spellStart"/>
      <w:proofErr w:type="gramStart"/>
      <w:r w:rsidRPr="0066567F">
        <w:t>Seidlmayer</w:t>
      </w:r>
      <w:proofErr w:type="spellEnd"/>
      <w:r w:rsidRPr="0066567F">
        <w:t>, S.</w:t>
      </w:r>
      <w:proofErr w:type="gramEnd"/>
    </w:p>
    <w:p w:rsidR="00A96E62" w:rsidRPr="0066567F" w:rsidRDefault="00A96E62" w:rsidP="004C0817">
      <w:pPr>
        <w:pStyle w:val="NoSpacing"/>
        <w:ind w:left="720" w:hanging="720"/>
      </w:pPr>
      <w:r w:rsidRPr="0066567F">
        <w:t>1990</w:t>
      </w:r>
      <w:r w:rsidRPr="0066567F">
        <w:tab/>
      </w:r>
      <w:proofErr w:type="spellStart"/>
      <w:r w:rsidRPr="0066567F">
        <w:rPr>
          <w:i/>
        </w:rPr>
        <w:t>Gräberfelder</w:t>
      </w:r>
      <w:proofErr w:type="spellEnd"/>
      <w:r w:rsidRPr="0066567F">
        <w:rPr>
          <w:i/>
        </w:rPr>
        <w:t xml:space="preserve"> </w:t>
      </w:r>
      <w:proofErr w:type="spellStart"/>
      <w:r w:rsidRPr="0066567F">
        <w:rPr>
          <w:i/>
        </w:rPr>
        <w:t>aus</w:t>
      </w:r>
      <w:proofErr w:type="spellEnd"/>
      <w:r w:rsidRPr="0066567F">
        <w:rPr>
          <w:i/>
        </w:rPr>
        <w:t xml:space="preserve"> </w:t>
      </w:r>
      <w:proofErr w:type="spellStart"/>
      <w:r w:rsidRPr="0066567F">
        <w:rPr>
          <w:i/>
        </w:rPr>
        <w:t>dem</w:t>
      </w:r>
      <w:proofErr w:type="spellEnd"/>
      <w:r w:rsidRPr="0066567F">
        <w:rPr>
          <w:i/>
        </w:rPr>
        <w:t xml:space="preserve"> </w:t>
      </w:r>
      <w:proofErr w:type="spellStart"/>
      <w:r w:rsidRPr="0066567F">
        <w:rPr>
          <w:i/>
        </w:rPr>
        <w:t>Übergang</w:t>
      </w:r>
      <w:proofErr w:type="spellEnd"/>
      <w:r w:rsidRPr="0066567F">
        <w:rPr>
          <w:i/>
        </w:rPr>
        <w:t xml:space="preserve"> </w:t>
      </w:r>
      <w:proofErr w:type="spellStart"/>
      <w:r w:rsidRPr="0066567F">
        <w:rPr>
          <w:i/>
        </w:rPr>
        <w:t>vom</w:t>
      </w:r>
      <w:proofErr w:type="spellEnd"/>
      <w:r w:rsidRPr="0066567F">
        <w:rPr>
          <w:i/>
        </w:rPr>
        <w:t xml:space="preserve"> </w:t>
      </w:r>
      <w:proofErr w:type="spellStart"/>
      <w:r w:rsidRPr="0066567F">
        <w:rPr>
          <w:i/>
        </w:rPr>
        <w:t>alten</w:t>
      </w:r>
      <w:proofErr w:type="spellEnd"/>
      <w:r w:rsidRPr="0066567F">
        <w:rPr>
          <w:i/>
        </w:rPr>
        <w:t xml:space="preserve"> </w:t>
      </w:r>
      <w:proofErr w:type="spellStart"/>
      <w:r w:rsidRPr="0066567F">
        <w:rPr>
          <w:i/>
        </w:rPr>
        <w:t>zum</w:t>
      </w:r>
      <w:proofErr w:type="spellEnd"/>
      <w:r w:rsidRPr="0066567F">
        <w:rPr>
          <w:i/>
        </w:rPr>
        <w:t xml:space="preserve"> </w:t>
      </w:r>
      <w:proofErr w:type="spellStart"/>
      <w:r w:rsidRPr="0066567F">
        <w:rPr>
          <w:i/>
        </w:rPr>
        <w:t>mittlere</w:t>
      </w:r>
      <w:r w:rsidR="004C0817" w:rsidRPr="0066567F">
        <w:rPr>
          <w:i/>
        </w:rPr>
        <w:t>n</w:t>
      </w:r>
      <w:proofErr w:type="spellEnd"/>
      <w:r w:rsidR="004C0817" w:rsidRPr="0066567F">
        <w:rPr>
          <w:i/>
        </w:rPr>
        <w:t xml:space="preserve"> Reich: </w:t>
      </w:r>
      <w:proofErr w:type="spellStart"/>
      <w:r w:rsidR="004C0817" w:rsidRPr="0066567F">
        <w:rPr>
          <w:i/>
        </w:rPr>
        <w:t>Studien</w:t>
      </w:r>
      <w:proofErr w:type="spellEnd"/>
      <w:r w:rsidR="004C0817" w:rsidRPr="0066567F">
        <w:rPr>
          <w:i/>
        </w:rPr>
        <w:t xml:space="preserve"> </w:t>
      </w:r>
      <w:proofErr w:type="spellStart"/>
      <w:r w:rsidR="004C0817" w:rsidRPr="0066567F">
        <w:rPr>
          <w:i/>
        </w:rPr>
        <w:t>zur</w:t>
      </w:r>
      <w:proofErr w:type="spellEnd"/>
      <w:r w:rsidR="004C0817" w:rsidRPr="0066567F">
        <w:rPr>
          <w:i/>
        </w:rPr>
        <w:t xml:space="preserve"> </w:t>
      </w:r>
      <w:proofErr w:type="spellStart"/>
      <w:r w:rsidR="004C0817" w:rsidRPr="0066567F">
        <w:rPr>
          <w:i/>
        </w:rPr>
        <w:t>archaoloue</w:t>
      </w:r>
      <w:proofErr w:type="spellEnd"/>
      <w:r w:rsidR="004C0817" w:rsidRPr="0066567F">
        <w:rPr>
          <w:i/>
        </w:rPr>
        <w:t xml:space="preserve"> </w:t>
      </w:r>
      <w:proofErr w:type="spellStart"/>
      <w:r w:rsidR="004C0817" w:rsidRPr="0066567F">
        <w:rPr>
          <w:i/>
        </w:rPr>
        <w:t>der</w:t>
      </w:r>
      <w:proofErr w:type="spellEnd"/>
      <w:r w:rsidR="004C0817" w:rsidRPr="0066567F">
        <w:rPr>
          <w:i/>
        </w:rPr>
        <w:t xml:space="preserve"> </w:t>
      </w:r>
      <w:proofErr w:type="spellStart"/>
      <w:r w:rsidRPr="0066567F">
        <w:rPr>
          <w:i/>
        </w:rPr>
        <w:t>ersten</w:t>
      </w:r>
      <w:proofErr w:type="spellEnd"/>
      <w:r w:rsidRPr="0066567F">
        <w:rPr>
          <w:i/>
        </w:rPr>
        <w:t xml:space="preserve"> </w:t>
      </w:r>
      <w:proofErr w:type="spellStart"/>
      <w:r w:rsidRPr="0066567F">
        <w:rPr>
          <w:i/>
        </w:rPr>
        <w:t>Zwischenzeit</w:t>
      </w:r>
      <w:proofErr w:type="spellEnd"/>
      <w:r w:rsidRPr="0066567F">
        <w:t xml:space="preserve">. Heidelberg </w:t>
      </w:r>
      <w:proofErr w:type="spellStart"/>
      <w:r w:rsidRPr="0066567F">
        <w:t>Orientverlag</w:t>
      </w:r>
      <w:proofErr w:type="spellEnd"/>
      <w:r w:rsidRPr="0066567F">
        <w:t>, Heidelberg.</w:t>
      </w:r>
    </w:p>
    <w:p w:rsidR="00A96E62" w:rsidRPr="0066567F" w:rsidRDefault="00A96E62" w:rsidP="004E2F43">
      <w:pPr>
        <w:pStyle w:val="NoSpacing"/>
      </w:pPr>
    </w:p>
    <w:p w:rsidR="00A96E62" w:rsidRPr="0066567F" w:rsidRDefault="00A96E62" w:rsidP="00AF4874">
      <w:pPr>
        <w:widowControl w:val="0"/>
        <w:ind w:left="720" w:right="99" w:hanging="720"/>
      </w:pPr>
      <w:r w:rsidRPr="0066567F">
        <w:t>1996</w:t>
      </w:r>
      <w:r w:rsidRPr="0066567F">
        <w:tab/>
        <w:t xml:space="preserve">Town and state in the Early Old Kingdom.  </w:t>
      </w:r>
      <w:proofErr w:type="gramStart"/>
      <w:r w:rsidRPr="0066567F">
        <w:t>A view from Elephantine</w:t>
      </w:r>
      <w:r w:rsidRPr="0066567F">
        <w:rPr>
          <w:i/>
        </w:rPr>
        <w:t>.</w:t>
      </w:r>
      <w:proofErr w:type="gramEnd"/>
      <w:r w:rsidRPr="0066567F">
        <w:t xml:space="preserve"> </w:t>
      </w:r>
      <w:proofErr w:type="gramStart"/>
      <w:r w:rsidRPr="0066567F">
        <w:t xml:space="preserve">In </w:t>
      </w:r>
      <w:r w:rsidRPr="0066567F">
        <w:rPr>
          <w:i/>
        </w:rPr>
        <w:t>Aspects of Early Egypt</w:t>
      </w:r>
      <w:r w:rsidRPr="0066567F">
        <w:t>, edited by J. Spencer, pp. 108-127.</w:t>
      </w:r>
      <w:proofErr w:type="gramEnd"/>
      <w:r w:rsidRPr="0066567F">
        <w:t xml:space="preserve"> British Museum Press, London.</w:t>
      </w:r>
    </w:p>
    <w:p w:rsidR="00A96E62" w:rsidRPr="0066567F" w:rsidRDefault="00A96E62" w:rsidP="00AF4874">
      <w:pPr>
        <w:widowControl w:val="0"/>
        <w:ind w:left="720" w:right="99" w:hanging="720"/>
      </w:pPr>
    </w:p>
    <w:p w:rsidR="00A96E62" w:rsidRPr="0066567F" w:rsidRDefault="00A96E62" w:rsidP="00177746">
      <w:pPr>
        <w:widowControl w:val="0"/>
        <w:ind w:right="99"/>
      </w:pPr>
      <w:proofErr w:type="spellStart"/>
      <w:proofErr w:type="gramStart"/>
      <w:r w:rsidRPr="0066567F">
        <w:t>Shennan</w:t>
      </w:r>
      <w:proofErr w:type="spellEnd"/>
      <w:r w:rsidRPr="0066567F">
        <w:t>, S.</w:t>
      </w:r>
      <w:proofErr w:type="gramEnd"/>
    </w:p>
    <w:p w:rsidR="00A96E62" w:rsidRPr="0066567F" w:rsidRDefault="00A96E62" w:rsidP="00177746">
      <w:pPr>
        <w:pStyle w:val="NoSpacing"/>
      </w:pPr>
      <w:r w:rsidRPr="0066567F">
        <w:t>1997</w:t>
      </w:r>
      <w:r w:rsidRPr="0066567F">
        <w:tab/>
      </w:r>
      <w:r w:rsidRPr="0066567F">
        <w:rPr>
          <w:i/>
        </w:rPr>
        <w:t>Quantifying Archaeology</w:t>
      </w:r>
      <w:r w:rsidRPr="0066567F">
        <w:t>. Edinburgh University Press, Edinburgh.</w:t>
      </w:r>
    </w:p>
    <w:p w:rsidR="00A96E62" w:rsidRPr="0066567F" w:rsidRDefault="00A96E62" w:rsidP="007C1A33">
      <w:pPr>
        <w:pStyle w:val="NoSpacing"/>
      </w:pPr>
    </w:p>
    <w:p w:rsidR="00A96E62" w:rsidRPr="0066567F" w:rsidRDefault="00A96E62" w:rsidP="007C1A33">
      <w:pPr>
        <w:pStyle w:val="NoSpacing"/>
      </w:pPr>
      <w:proofErr w:type="gramStart"/>
      <w:r w:rsidRPr="0066567F">
        <w:t>Sterling, S.</w:t>
      </w:r>
      <w:proofErr w:type="gramEnd"/>
      <w:r w:rsidRPr="0066567F">
        <w:t xml:space="preserve"> </w:t>
      </w:r>
    </w:p>
    <w:p w:rsidR="00A96E62" w:rsidRPr="0066567F" w:rsidRDefault="00A96E62" w:rsidP="00804F59">
      <w:pPr>
        <w:ind w:left="720" w:right="-159" w:hanging="720"/>
      </w:pPr>
      <w:r w:rsidRPr="0066567F">
        <w:t>2004</w:t>
      </w:r>
      <w:r w:rsidRPr="0066567F">
        <w:tab/>
      </w:r>
      <w:r w:rsidRPr="0066567F">
        <w:rPr>
          <w:i/>
        </w:rPr>
        <w:t xml:space="preserve">Social complexity in ancient Egypt: Functional differentiation as reflected in the distribution of apparently standardized ceramics.  </w:t>
      </w:r>
      <w:proofErr w:type="gramStart"/>
      <w:r w:rsidRPr="0066567F">
        <w:t>Doctoral dissertation, University of Washington.</w:t>
      </w:r>
      <w:proofErr w:type="gramEnd"/>
      <w:r w:rsidRPr="0066567F">
        <w:t xml:space="preserve"> </w:t>
      </w:r>
    </w:p>
    <w:p w:rsidR="00A96E62" w:rsidRPr="0066567F" w:rsidRDefault="00A96E62" w:rsidP="00804F59">
      <w:pPr>
        <w:ind w:left="720" w:right="-159" w:hanging="720"/>
      </w:pPr>
    </w:p>
    <w:p w:rsidR="00A96E62" w:rsidRPr="0066567F" w:rsidRDefault="00A96E62" w:rsidP="00804F59">
      <w:pPr>
        <w:ind w:left="720" w:right="-159" w:hanging="720"/>
      </w:pPr>
      <w:r w:rsidRPr="0066567F">
        <w:t>2009</w:t>
      </w:r>
      <w:r w:rsidRPr="0066567F">
        <w:tab/>
        <w:t xml:space="preserve">Pottery attributes and how they reflect intentionality in craft manufacture and reproduction," In, </w:t>
      </w:r>
      <w:r w:rsidRPr="0066567F">
        <w:rPr>
          <w:i/>
        </w:rPr>
        <w:t>Studies on Old Kingdom Pottery</w:t>
      </w:r>
      <w:r w:rsidRPr="0066567F">
        <w:t xml:space="preserve">, edited by </w:t>
      </w:r>
      <w:proofErr w:type="spellStart"/>
      <w:r w:rsidRPr="0066567F">
        <w:t>Teodozja</w:t>
      </w:r>
      <w:proofErr w:type="spellEnd"/>
      <w:r w:rsidRPr="0066567F">
        <w:t xml:space="preserve"> </w:t>
      </w:r>
      <w:proofErr w:type="spellStart"/>
      <w:r w:rsidRPr="0066567F">
        <w:t>Rzeuska</w:t>
      </w:r>
      <w:proofErr w:type="spellEnd"/>
      <w:r w:rsidRPr="0066567F">
        <w:t xml:space="preserve"> and Anna </w:t>
      </w:r>
      <w:proofErr w:type="spellStart"/>
      <w:r w:rsidRPr="0066567F">
        <w:t>Wodzińska</w:t>
      </w:r>
      <w:proofErr w:type="spellEnd"/>
      <w:r w:rsidRPr="0066567F">
        <w:t xml:space="preserve">. </w:t>
      </w:r>
      <w:proofErr w:type="spellStart"/>
      <w:r w:rsidRPr="0066567F">
        <w:t>Wydawnictwo</w:t>
      </w:r>
      <w:proofErr w:type="spellEnd"/>
      <w:r w:rsidRPr="0066567F">
        <w:t xml:space="preserve"> </w:t>
      </w:r>
      <w:proofErr w:type="spellStart"/>
      <w:r w:rsidRPr="0066567F">
        <w:t>Neriton</w:t>
      </w:r>
      <w:proofErr w:type="spellEnd"/>
      <w:r w:rsidRPr="0066567F">
        <w:t>, Warsaw.</w:t>
      </w:r>
    </w:p>
    <w:p w:rsidR="00A96E62" w:rsidRPr="0066567F" w:rsidRDefault="00A96E62" w:rsidP="00AF67E3">
      <w:pPr>
        <w:widowControl w:val="0"/>
        <w:ind w:right="99"/>
      </w:pPr>
    </w:p>
    <w:p w:rsidR="00A96E62" w:rsidRPr="0066567F" w:rsidRDefault="00A96E62" w:rsidP="00CC3F4E">
      <w:pPr>
        <w:widowControl w:val="0"/>
        <w:ind w:right="99"/>
      </w:pPr>
      <w:r w:rsidRPr="0066567F">
        <w:t>Trigger, B.</w:t>
      </w:r>
    </w:p>
    <w:p w:rsidR="00A96E62" w:rsidRPr="0066567F" w:rsidRDefault="00A96E62" w:rsidP="004C0817">
      <w:pPr>
        <w:widowControl w:val="0"/>
        <w:ind w:left="720" w:right="99" w:hanging="720"/>
      </w:pPr>
      <w:r w:rsidRPr="0066567F">
        <w:t>1993</w:t>
      </w:r>
      <w:r w:rsidRPr="0066567F">
        <w:tab/>
      </w:r>
      <w:r w:rsidRPr="0066567F">
        <w:rPr>
          <w:i/>
        </w:rPr>
        <w:t>Early Civilizations:  Ancient Egypt in Context</w:t>
      </w:r>
      <w:r w:rsidRPr="0066567F">
        <w:t xml:space="preserve">. </w:t>
      </w:r>
      <w:proofErr w:type="gramStart"/>
      <w:r w:rsidRPr="0066567F">
        <w:t>American University in Cairo Press, Cairo.</w:t>
      </w:r>
      <w:proofErr w:type="gramEnd"/>
    </w:p>
    <w:p w:rsidR="00A96E62" w:rsidRPr="0066567F" w:rsidRDefault="00A96E62" w:rsidP="006741A9">
      <w:pPr>
        <w:widowControl w:val="0"/>
        <w:ind w:right="99"/>
      </w:pPr>
    </w:p>
    <w:p w:rsidR="00A96E62" w:rsidRPr="0066567F" w:rsidRDefault="00A96E62" w:rsidP="006741A9">
      <w:pPr>
        <w:widowControl w:val="0"/>
        <w:ind w:right="99"/>
      </w:pPr>
      <w:proofErr w:type="spellStart"/>
      <w:r w:rsidRPr="0066567F">
        <w:t>Vandiver</w:t>
      </w:r>
      <w:proofErr w:type="spellEnd"/>
      <w:r w:rsidRPr="0066567F">
        <w:t xml:space="preserve">, P. and P. </w:t>
      </w:r>
      <w:proofErr w:type="spellStart"/>
      <w:r w:rsidRPr="0066567F">
        <w:t>Lacovara</w:t>
      </w:r>
      <w:proofErr w:type="spellEnd"/>
    </w:p>
    <w:p w:rsidR="00A96E62" w:rsidRPr="0066567F" w:rsidRDefault="00A96E62" w:rsidP="004C0817">
      <w:pPr>
        <w:widowControl w:val="0"/>
        <w:ind w:left="720" w:right="99" w:hanging="720"/>
      </w:pPr>
      <w:r w:rsidRPr="0066567F">
        <w:lastRenderedPageBreak/>
        <w:t>1985/6</w:t>
      </w:r>
      <w:r w:rsidRPr="0066567F">
        <w:tab/>
        <w:t xml:space="preserve">An outline of technological Egyptian pottery manufacture. </w:t>
      </w:r>
      <w:r w:rsidRPr="0066567F">
        <w:rPr>
          <w:i/>
        </w:rPr>
        <w:t xml:space="preserve">Bulletin of the </w:t>
      </w:r>
      <w:proofErr w:type="spellStart"/>
      <w:r w:rsidRPr="0066567F">
        <w:rPr>
          <w:i/>
        </w:rPr>
        <w:t>Egyptological</w:t>
      </w:r>
      <w:proofErr w:type="spellEnd"/>
      <w:r w:rsidRPr="0066567F">
        <w:rPr>
          <w:i/>
        </w:rPr>
        <w:t xml:space="preserve"> Seminar</w:t>
      </w:r>
      <w:r w:rsidR="004C0817" w:rsidRPr="0066567F">
        <w:t xml:space="preserve"> </w:t>
      </w:r>
      <w:r w:rsidRPr="0066567F">
        <w:t>7:53-85</w:t>
      </w:r>
    </w:p>
    <w:p w:rsidR="00A96E62" w:rsidRPr="0066567F" w:rsidRDefault="00A96E62" w:rsidP="00AF67E3">
      <w:pPr>
        <w:widowControl w:val="0"/>
        <w:ind w:right="99"/>
      </w:pPr>
    </w:p>
    <w:p w:rsidR="00A96E62" w:rsidRPr="0066567F" w:rsidRDefault="00A96E62" w:rsidP="00AF67E3">
      <w:pPr>
        <w:widowControl w:val="0"/>
        <w:ind w:right="99"/>
      </w:pPr>
      <w:proofErr w:type="spellStart"/>
      <w:r w:rsidRPr="0066567F">
        <w:t>Wenke</w:t>
      </w:r>
      <w:proofErr w:type="spellEnd"/>
      <w:r w:rsidRPr="0066567F">
        <w:t>, R. J. and D. J. Brewer</w:t>
      </w:r>
    </w:p>
    <w:p w:rsidR="00A96E62" w:rsidRPr="0066567F" w:rsidRDefault="00A96E62" w:rsidP="00177746">
      <w:pPr>
        <w:widowControl w:val="0"/>
        <w:ind w:left="720" w:right="99" w:hanging="720"/>
      </w:pPr>
      <w:r w:rsidRPr="0066567F">
        <w:t>1995</w:t>
      </w:r>
      <w:r w:rsidRPr="0066567F">
        <w:tab/>
        <w:t xml:space="preserve">The Archaic-Old Kingdom Delta:  the Evidence from Mendes and </w:t>
      </w:r>
      <w:proofErr w:type="spellStart"/>
      <w:r w:rsidRPr="0066567F">
        <w:t>Kom</w:t>
      </w:r>
      <w:proofErr w:type="spellEnd"/>
      <w:r w:rsidRPr="0066567F">
        <w:t xml:space="preserve"> El-</w:t>
      </w:r>
      <w:proofErr w:type="spellStart"/>
      <w:r w:rsidRPr="0066567F">
        <w:t>Hisn</w:t>
      </w:r>
      <w:proofErr w:type="spellEnd"/>
      <w:r w:rsidRPr="0066567F">
        <w:rPr>
          <w:i/>
        </w:rPr>
        <w:t>.</w:t>
      </w:r>
      <w:r w:rsidRPr="0066567F">
        <w:t xml:space="preserve"> In </w:t>
      </w:r>
      <w:proofErr w:type="spellStart"/>
      <w:r w:rsidRPr="0066567F">
        <w:rPr>
          <w:i/>
        </w:rPr>
        <w:t>Haus</w:t>
      </w:r>
      <w:proofErr w:type="spellEnd"/>
      <w:r w:rsidRPr="0066567F">
        <w:rPr>
          <w:i/>
        </w:rPr>
        <w:t xml:space="preserve"> und </w:t>
      </w:r>
      <w:proofErr w:type="spellStart"/>
      <w:r w:rsidRPr="0066567F">
        <w:rPr>
          <w:i/>
        </w:rPr>
        <w:t>Palast</w:t>
      </w:r>
      <w:proofErr w:type="spellEnd"/>
      <w:r w:rsidRPr="0066567F">
        <w:rPr>
          <w:i/>
        </w:rPr>
        <w:t xml:space="preserve"> </w:t>
      </w:r>
      <w:proofErr w:type="spellStart"/>
      <w:r w:rsidRPr="0066567F">
        <w:rPr>
          <w:i/>
        </w:rPr>
        <w:t>im</w:t>
      </w:r>
      <w:proofErr w:type="spellEnd"/>
      <w:r w:rsidRPr="0066567F">
        <w:rPr>
          <w:i/>
        </w:rPr>
        <w:t xml:space="preserve"> </w:t>
      </w:r>
      <w:proofErr w:type="spellStart"/>
      <w:r w:rsidRPr="0066567F">
        <w:rPr>
          <w:i/>
        </w:rPr>
        <w:t>alten</w:t>
      </w:r>
      <w:proofErr w:type="spellEnd"/>
      <w:r w:rsidRPr="0066567F">
        <w:rPr>
          <w:i/>
        </w:rPr>
        <w:t xml:space="preserve"> </w:t>
      </w:r>
      <w:proofErr w:type="spellStart"/>
      <w:r w:rsidRPr="0066567F">
        <w:rPr>
          <w:i/>
        </w:rPr>
        <w:t>Ågypten</w:t>
      </w:r>
      <w:proofErr w:type="spellEnd"/>
      <w:r w:rsidRPr="0066567F">
        <w:t xml:space="preserve">, edited by M. </w:t>
      </w:r>
      <w:proofErr w:type="spellStart"/>
      <w:r w:rsidRPr="0066567F">
        <w:t>Bietak</w:t>
      </w:r>
      <w:proofErr w:type="spellEnd"/>
      <w:r w:rsidRPr="0066567F">
        <w:t xml:space="preserve">, pp. 265-285. </w:t>
      </w:r>
      <w:proofErr w:type="gramStart"/>
      <w:r w:rsidRPr="0066567F">
        <w:t>Austrian Archaeological Institute, Vienna.</w:t>
      </w:r>
      <w:proofErr w:type="gramEnd"/>
    </w:p>
    <w:p w:rsidR="00A96E62" w:rsidRPr="0066567F" w:rsidRDefault="00A96E62" w:rsidP="001E5C35">
      <w:pPr>
        <w:widowControl w:val="0"/>
        <w:ind w:left="720" w:right="99"/>
      </w:pPr>
    </w:p>
    <w:p w:rsidR="002B6CEA" w:rsidRPr="0066567F" w:rsidRDefault="002B6CEA" w:rsidP="001E5C35">
      <w:pPr>
        <w:widowControl w:val="0"/>
        <w:ind w:left="720" w:right="99"/>
      </w:pPr>
    </w:p>
    <w:p w:rsidR="00A96E62" w:rsidRPr="0066567F" w:rsidRDefault="00A96E62" w:rsidP="001E5C35">
      <w:pPr>
        <w:widowControl w:val="0"/>
        <w:ind w:right="99"/>
      </w:pPr>
      <w:proofErr w:type="spellStart"/>
      <w:r w:rsidRPr="0066567F">
        <w:t>Wenke</w:t>
      </w:r>
      <w:proofErr w:type="spellEnd"/>
      <w:r w:rsidRPr="0066567F">
        <w:t xml:space="preserve">, R. J., P. E. Buck, H. </w:t>
      </w:r>
      <w:proofErr w:type="spellStart"/>
      <w:r w:rsidRPr="0066567F">
        <w:t>Hamroush</w:t>
      </w:r>
      <w:proofErr w:type="spellEnd"/>
      <w:r w:rsidRPr="0066567F">
        <w:t xml:space="preserve">, M. </w:t>
      </w:r>
      <w:proofErr w:type="spellStart"/>
      <w:r w:rsidRPr="0066567F">
        <w:t>Kobusiewicz</w:t>
      </w:r>
      <w:proofErr w:type="spellEnd"/>
      <w:r w:rsidRPr="0066567F">
        <w:t xml:space="preserve">, K. </w:t>
      </w:r>
      <w:proofErr w:type="spellStart"/>
      <w:r w:rsidRPr="0066567F">
        <w:t>Kroeper</w:t>
      </w:r>
      <w:proofErr w:type="spellEnd"/>
      <w:r w:rsidRPr="0066567F">
        <w:t xml:space="preserve"> and R. Redding</w:t>
      </w:r>
    </w:p>
    <w:p w:rsidR="00A96E62" w:rsidRPr="0066567F" w:rsidRDefault="00A96E62" w:rsidP="00177746">
      <w:pPr>
        <w:widowControl w:val="0"/>
        <w:ind w:left="720" w:right="99" w:hanging="720"/>
      </w:pPr>
      <w:r w:rsidRPr="0066567F">
        <w:t>1988</w:t>
      </w:r>
      <w:r w:rsidRPr="0066567F">
        <w:tab/>
      </w:r>
      <w:proofErr w:type="spellStart"/>
      <w:r w:rsidRPr="0066567F">
        <w:t>Kom</w:t>
      </w:r>
      <w:proofErr w:type="spellEnd"/>
      <w:r w:rsidRPr="0066567F">
        <w:t xml:space="preserve"> el-</w:t>
      </w:r>
      <w:proofErr w:type="spellStart"/>
      <w:r w:rsidRPr="0066567F">
        <w:t>Hisn</w:t>
      </w:r>
      <w:proofErr w:type="spellEnd"/>
      <w:r w:rsidRPr="0066567F">
        <w:t xml:space="preserve">:  Excavation of an Old Kingdom Settlement in the Egyptian Delta. </w:t>
      </w:r>
      <w:r w:rsidR="002B6CEA" w:rsidRPr="0066567F">
        <w:rPr>
          <w:i/>
        </w:rPr>
        <w:t xml:space="preserve">Journal </w:t>
      </w:r>
      <w:r w:rsidRPr="0066567F">
        <w:rPr>
          <w:i/>
        </w:rPr>
        <w:t>of the American Research Center in Egypt</w:t>
      </w:r>
      <w:r w:rsidRPr="0066567F">
        <w:t xml:space="preserve"> 25:5-34.</w:t>
      </w:r>
    </w:p>
    <w:p w:rsidR="00A96E62" w:rsidRPr="0066567F" w:rsidRDefault="00A96E62" w:rsidP="001E5C35">
      <w:pPr>
        <w:widowControl w:val="0"/>
        <w:ind w:right="99"/>
      </w:pPr>
    </w:p>
    <w:p w:rsidR="00A96E62" w:rsidRPr="0066567F" w:rsidRDefault="00A96E62" w:rsidP="0041298D">
      <w:pPr>
        <w:spacing w:line="480" w:lineRule="auto"/>
        <w:ind w:right="183"/>
        <w:rPr>
          <w:iCs/>
        </w:rPr>
      </w:pPr>
    </w:p>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 w:rsidR="00A96E62" w:rsidRPr="0066567F" w:rsidRDefault="00A96E62">
      <w:pPr>
        <w:rPr>
          <w:b/>
        </w:rPr>
      </w:pPr>
    </w:p>
    <w:p w:rsidR="00A96E62" w:rsidRPr="0066567F" w:rsidRDefault="00A96E62">
      <w:pPr>
        <w:rPr>
          <w:b/>
        </w:rPr>
      </w:pPr>
    </w:p>
    <w:sectPr w:rsidR="00A96E62" w:rsidRPr="0066567F" w:rsidSect="00A266B8">
      <w:footerReference w:type="default" r:id="rId1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5622" w:rsidRDefault="00745622" w:rsidP="00CC7E83">
      <w:r>
        <w:separator/>
      </w:r>
    </w:p>
  </w:endnote>
  <w:endnote w:type="continuationSeparator" w:id="0">
    <w:p w:rsidR="00745622" w:rsidRDefault="00745622" w:rsidP="00CC7E8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AGaramond">
    <w:altName w:val="Times New Roman"/>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231B9" w:rsidRDefault="00B40675">
    <w:pPr>
      <w:pStyle w:val="Footer"/>
      <w:jc w:val="center"/>
    </w:pPr>
    <w:r>
      <w:fldChar w:fldCharType="begin"/>
    </w:r>
    <w:r w:rsidR="00D231B9">
      <w:instrText xml:space="preserve"> PAGE   \* MERGEFORMAT </w:instrText>
    </w:r>
    <w:r>
      <w:fldChar w:fldCharType="separate"/>
    </w:r>
    <w:r w:rsidR="00EB34A3">
      <w:rPr>
        <w:noProof/>
      </w:rPr>
      <w:t>43</w:t>
    </w:r>
    <w:r>
      <w:rPr>
        <w:noProof/>
      </w:rPr>
      <w:fldChar w:fldCharType="end"/>
    </w:r>
  </w:p>
  <w:p w:rsidR="00D231B9" w:rsidRDefault="00D231B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5622" w:rsidRDefault="00745622" w:rsidP="00CC7E83">
      <w:r>
        <w:separator/>
      </w:r>
    </w:p>
  </w:footnote>
  <w:footnote w:type="continuationSeparator" w:id="0">
    <w:p w:rsidR="00745622" w:rsidRDefault="00745622" w:rsidP="00CC7E8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F42C21"/>
    <w:multiLevelType w:val="hybridMultilevel"/>
    <w:tmpl w:val="E93C3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E6F70D1"/>
    <w:multiLevelType w:val="hybridMultilevel"/>
    <w:tmpl w:val="89F4D476"/>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68B3614F"/>
    <w:multiLevelType w:val="hybridMultilevel"/>
    <w:tmpl w:val="DBA265BC"/>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20"/>
  <w:characterSpacingControl w:val="doNotCompress"/>
  <w:doNotValidateAgainstSchema/>
  <w:doNotDemarcateInvalidXml/>
  <w:footnotePr>
    <w:footnote w:id="-1"/>
    <w:footnote w:id="0"/>
  </w:footnotePr>
  <w:endnotePr>
    <w:endnote w:id="-1"/>
    <w:endnote w:id="0"/>
  </w:endnotePr>
  <w:compat/>
  <w:rsids>
    <w:rsidRoot w:val="00416BCC"/>
    <w:rsid w:val="00001356"/>
    <w:rsid w:val="00005B2F"/>
    <w:rsid w:val="0000769A"/>
    <w:rsid w:val="00010118"/>
    <w:rsid w:val="00021504"/>
    <w:rsid w:val="00022120"/>
    <w:rsid w:val="000318BC"/>
    <w:rsid w:val="00032B24"/>
    <w:rsid w:val="00044D32"/>
    <w:rsid w:val="00045937"/>
    <w:rsid w:val="00053483"/>
    <w:rsid w:val="00054960"/>
    <w:rsid w:val="00056F82"/>
    <w:rsid w:val="000573EF"/>
    <w:rsid w:val="00063B08"/>
    <w:rsid w:val="00065E82"/>
    <w:rsid w:val="00066411"/>
    <w:rsid w:val="000666AD"/>
    <w:rsid w:val="0007243C"/>
    <w:rsid w:val="00073290"/>
    <w:rsid w:val="000739F9"/>
    <w:rsid w:val="00081A38"/>
    <w:rsid w:val="00084396"/>
    <w:rsid w:val="00084441"/>
    <w:rsid w:val="000965BF"/>
    <w:rsid w:val="00097A4C"/>
    <w:rsid w:val="000A35CF"/>
    <w:rsid w:val="000A4E40"/>
    <w:rsid w:val="000A5435"/>
    <w:rsid w:val="000A7F0A"/>
    <w:rsid w:val="000C1B41"/>
    <w:rsid w:val="000C58BE"/>
    <w:rsid w:val="000C73A9"/>
    <w:rsid w:val="000D1690"/>
    <w:rsid w:val="000D17BD"/>
    <w:rsid w:val="000D52BD"/>
    <w:rsid w:val="000D538B"/>
    <w:rsid w:val="000D53C0"/>
    <w:rsid w:val="000D612C"/>
    <w:rsid w:val="000D66F8"/>
    <w:rsid w:val="000D6DE6"/>
    <w:rsid w:val="000E533F"/>
    <w:rsid w:val="000E537D"/>
    <w:rsid w:val="000E5879"/>
    <w:rsid w:val="000F0103"/>
    <w:rsid w:val="000F1BCA"/>
    <w:rsid w:val="000F5335"/>
    <w:rsid w:val="000F5E1B"/>
    <w:rsid w:val="000F6B1D"/>
    <w:rsid w:val="000F6F61"/>
    <w:rsid w:val="00103562"/>
    <w:rsid w:val="0010507F"/>
    <w:rsid w:val="00117CFE"/>
    <w:rsid w:val="00120266"/>
    <w:rsid w:val="001254BF"/>
    <w:rsid w:val="0013064C"/>
    <w:rsid w:val="0013631C"/>
    <w:rsid w:val="00136FB1"/>
    <w:rsid w:val="001371BD"/>
    <w:rsid w:val="00141F7B"/>
    <w:rsid w:val="00145434"/>
    <w:rsid w:val="001469F7"/>
    <w:rsid w:val="00146C94"/>
    <w:rsid w:val="00147DD1"/>
    <w:rsid w:val="00150AA2"/>
    <w:rsid w:val="00154720"/>
    <w:rsid w:val="00161751"/>
    <w:rsid w:val="0016760F"/>
    <w:rsid w:val="00167910"/>
    <w:rsid w:val="001756D1"/>
    <w:rsid w:val="00177746"/>
    <w:rsid w:val="00182334"/>
    <w:rsid w:val="00183F9E"/>
    <w:rsid w:val="001908D5"/>
    <w:rsid w:val="001931E6"/>
    <w:rsid w:val="001A7285"/>
    <w:rsid w:val="001B0689"/>
    <w:rsid w:val="001B2644"/>
    <w:rsid w:val="001B500D"/>
    <w:rsid w:val="001B578B"/>
    <w:rsid w:val="001C056C"/>
    <w:rsid w:val="001C2A8B"/>
    <w:rsid w:val="001C2F21"/>
    <w:rsid w:val="001C7640"/>
    <w:rsid w:val="001D5EB1"/>
    <w:rsid w:val="001E16D9"/>
    <w:rsid w:val="001E59AA"/>
    <w:rsid w:val="001E5C35"/>
    <w:rsid w:val="001E7080"/>
    <w:rsid w:val="00200AEF"/>
    <w:rsid w:val="00200C68"/>
    <w:rsid w:val="0020609F"/>
    <w:rsid w:val="00207116"/>
    <w:rsid w:val="00207215"/>
    <w:rsid w:val="00214630"/>
    <w:rsid w:val="0022243D"/>
    <w:rsid w:val="00223BE3"/>
    <w:rsid w:val="00225C20"/>
    <w:rsid w:val="00231BCD"/>
    <w:rsid w:val="00232396"/>
    <w:rsid w:val="0023245C"/>
    <w:rsid w:val="00237C27"/>
    <w:rsid w:val="00241D13"/>
    <w:rsid w:val="002421C3"/>
    <w:rsid w:val="0024246F"/>
    <w:rsid w:val="002445AB"/>
    <w:rsid w:val="00245CCE"/>
    <w:rsid w:val="0025366C"/>
    <w:rsid w:val="00254523"/>
    <w:rsid w:val="00271C4C"/>
    <w:rsid w:val="00272EE3"/>
    <w:rsid w:val="002745FB"/>
    <w:rsid w:val="002956BB"/>
    <w:rsid w:val="002A0AC0"/>
    <w:rsid w:val="002A7F1D"/>
    <w:rsid w:val="002B2973"/>
    <w:rsid w:val="002B6CEA"/>
    <w:rsid w:val="002B7FCF"/>
    <w:rsid w:val="002C0BF6"/>
    <w:rsid w:val="002C6D55"/>
    <w:rsid w:val="002C7105"/>
    <w:rsid w:val="002C7DDD"/>
    <w:rsid w:val="002E12D0"/>
    <w:rsid w:val="002E2AF6"/>
    <w:rsid w:val="002E2F53"/>
    <w:rsid w:val="002E4CFF"/>
    <w:rsid w:val="002F0B68"/>
    <w:rsid w:val="00306962"/>
    <w:rsid w:val="0031007C"/>
    <w:rsid w:val="00323C45"/>
    <w:rsid w:val="00324BC8"/>
    <w:rsid w:val="00325F5A"/>
    <w:rsid w:val="003308B0"/>
    <w:rsid w:val="00340E62"/>
    <w:rsid w:val="003476F1"/>
    <w:rsid w:val="00350C02"/>
    <w:rsid w:val="0035556B"/>
    <w:rsid w:val="00356CF8"/>
    <w:rsid w:val="00356ED9"/>
    <w:rsid w:val="00361B62"/>
    <w:rsid w:val="00364164"/>
    <w:rsid w:val="003645C1"/>
    <w:rsid w:val="00366CDC"/>
    <w:rsid w:val="003753B9"/>
    <w:rsid w:val="00382DA9"/>
    <w:rsid w:val="00384025"/>
    <w:rsid w:val="00386599"/>
    <w:rsid w:val="003867EC"/>
    <w:rsid w:val="0038768B"/>
    <w:rsid w:val="003A02E4"/>
    <w:rsid w:val="003A2B9D"/>
    <w:rsid w:val="003A3486"/>
    <w:rsid w:val="003A42E7"/>
    <w:rsid w:val="003A55AC"/>
    <w:rsid w:val="003A5B49"/>
    <w:rsid w:val="003A5CB5"/>
    <w:rsid w:val="003B1547"/>
    <w:rsid w:val="003B6486"/>
    <w:rsid w:val="003C075D"/>
    <w:rsid w:val="003C3921"/>
    <w:rsid w:val="003C447F"/>
    <w:rsid w:val="003C4D7E"/>
    <w:rsid w:val="003C566D"/>
    <w:rsid w:val="003C56BE"/>
    <w:rsid w:val="003D160B"/>
    <w:rsid w:val="003D1B06"/>
    <w:rsid w:val="003D4A09"/>
    <w:rsid w:val="003D5A8E"/>
    <w:rsid w:val="003D7492"/>
    <w:rsid w:val="003E17D5"/>
    <w:rsid w:val="003E2DEB"/>
    <w:rsid w:val="003F12B5"/>
    <w:rsid w:val="003F1BDF"/>
    <w:rsid w:val="003F2676"/>
    <w:rsid w:val="003F2B8C"/>
    <w:rsid w:val="003F2B9F"/>
    <w:rsid w:val="003F46E5"/>
    <w:rsid w:val="003F783B"/>
    <w:rsid w:val="0040455F"/>
    <w:rsid w:val="0040586C"/>
    <w:rsid w:val="0041298D"/>
    <w:rsid w:val="00416BCC"/>
    <w:rsid w:val="0042013A"/>
    <w:rsid w:val="004226C7"/>
    <w:rsid w:val="00422CA0"/>
    <w:rsid w:val="0042417C"/>
    <w:rsid w:val="0042448F"/>
    <w:rsid w:val="004265A1"/>
    <w:rsid w:val="00427396"/>
    <w:rsid w:val="00432B87"/>
    <w:rsid w:val="0044417A"/>
    <w:rsid w:val="00444F6C"/>
    <w:rsid w:val="00446B5E"/>
    <w:rsid w:val="00454E4E"/>
    <w:rsid w:val="0046094E"/>
    <w:rsid w:val="00463D78"/>
    <w:rsid w:val="00467A6D"/>
    <w:rsid w:val="00467C7E"/>
    <w:rsid w:val="0048337A"/>
    <w:rsid w:val="004842A7"/>
    <w:rsid w:val="00485D29"/>
    <w:rsid w:val="00490E19"/>
    <w:rsid w:val="00492A4D"/>
    <w:rsid w:val="00492CAD"/>
    <w:rsid w:val="00494EB5"/>
    <w:rsid w:val="00495713"/>
    <w:rsid w:val="00496D1B"/>
    <w:rsid w:val="004A0E74"/>
    <w:rsid w:val="004A456B"/>
    <w:rsid w:val="004A56F5"/>
    <w:rsid w:val="004A76FB"/>
    <w:rsid w:val="004B3E72"/>
    <w:rsid w:val="004B61D7"/>
    <w:rsid w:val="004C0817"/>
    <w:rsid w:val="004C3D43"/>
    <w:rsid w:val="004C6DA9"/>
    <w:rsid w:val="004D1C56"/>
    <w:rsid w:val="004D3292"/>
    <w:rsid w:val="004D3603"/>
    <w:rsid w:val="004E2F43"/>
    <w:rsid w:val="004F14B3"/>
    <w:rsid w:val="005027BE"/>
    <w:rsid w:val="005032E2"/>
    <w:rsid w:val="00505366"/>
    <w:rsid w:val="00513CE6"/>
    <w:rsid w:val="005173DF"/>
    <w:rsid w:val="00522894"/>
    <w:rsid w:val="005301D4"/>
    <w:rsid w:val="0053069B"/>
    <w:rsid w:val="005367E6"/>
    <w:rsid w:val="005372C9"/>
    <w:rsid w:val="00541CD9"/>
    <w:rsid w:val="005422B2"/>
    <w:rsid w:val="00542760"/>
    <w:rsid w:val="00554788"/>
    <w:rsid w:val="00562E20"/>
    <w:rsid w:val="0056473E"/>
    <w:rsid w:val="0056785C"/>
    <w:rsid w:val="0057137D"/>
    <w:rsid w:val="005724CC"/>
    <w:rsid w:val="005729F2"/>
    <w:rsid w:val="00575D3C"/>
    <w:rsid w:val="005804F8"/>
    <w:rsid w:val="00582B1A"/>
    <w:rsid w:val="00583854"/>
    <w:rsid w:val="005842C8"/>
    <w:rsid w:val="00584B7C"/>
    <w:rsid w:val="00590DD1"/>
    <w:rsid w:val="005959E5"/>
    <w:rsid w:val="00597DA2"/>
    <w:rsid w:val="005A2B3B"/>
    <w:rsid w:val="005A74C2"/>
    <w:rsid w:val="005B2A4E"/>
    <w:rsid w:val="005B4313"/>
    <w:rsid w:val="005C2150"/>
    <w:rsid w:val="005C53BB"/>
    <w:rsid w:val="005D1C20"/>
    <w:rsid w:val="005E04FB"/>
    <w:rsid w:val="005E3479"/>
    <w:rsid w:val="005E4B1D"/>
    <w:rsid w:val="005E79DC"/>
    <w:rsid w:val="006014A8"/>
    <w:rsid w:val="00601A9F"/>
    <w:rsid w:val="00615B4B"/>
    <w:rsid w:val="006163DF"/>
    <w:rsid w:val="00621DD1"/>
    <w:rsid w:val="00634619"/>
    <w:rsid w:val="00640E47"/>
    <w:rsid w:val="00642256"/>
    <w:rsid w:val="006433B8"/>
    <w:rsid w:val="00645CB9"/>
    <w:rsid w:val="00651EF7"/>
    <w:rsid w:val="00663EEB"/>
    <w:rsid w:val="006650EC"/>
    <w:rsid w:val="0066567F"/>
    <w:rsid w:val="006706B4"/>
    <w:rsid w:val="006741A9"/>
    <w:rsid w:val="00674586"/>
    <w:rsid w:val="006807E4"/>
    <w:rsid w:val="0068260B"/>
    <w:rsid w:val="00691B1F"/>
    <w:rsid w:val="00694373"/>
    <w:rsid w:val="0069521C"/>
    <w:rsid w:val="006955EF"/>
    <w:rsid w:val="006A39CF"/>
    <w:rsid w:val="006A3E0B"/>
    <w:rsid w:val="006A5A21"/>
    <w:rsid w:val="006A6816"/>
    <w:rsid w:val="006C669E"/>
    <w:rsid w:val="006C6D3A"/>
    <w:rsid w:val="006C729E"/>
    <w:rsid w:val="006E2AF8"/>
    <w:rsid w:val="006E2D3F"/>
    <w:rsid w:val="006E2ED2"/>
    <w:rsid w:val="006F202B"/>
    <w:rsid w:val="006F41FA"/>
    <w:rsid w:val="006F7777"/>
    <w:rsid w:val="006F7C11"/>
    <w:rsid w:val="00700D2D"/>
    <w:rsid w:val="0070479B"/>
    <w:rsid w:val="007105FD"/>
    <w:rsid w:val="0071467E"/>
    <w:rsid w:val="007156A7"/>
    <w:rsid w:val="00717188"/>
    <w:rsid w:val="0072362E"/>
    <w:rsid w:val="00723E9F"/>
    <w:rsid w:val="007255C0"/>
    <w:rsid w:val="00731E37"/>
    <w:rsid w:val="00745622"/>
    <w:rsid w:val="00751662"/>
    <w:rsid w:val="00764CAF"/>
    <w:rsid w:val="0078224F"/>
    <w:rsid w:val="00790C8F"/>
    <w:rsid w:val="00794482"/>
    <w:rsid w:val="007956AF"/>
    <w:rsid w:val="007A3236"/>
    <w:rsid w:val="007A4723"/>
    <w:rsid w:val="007B0644"/>
    <w:rsid w:val="007B42A7"/>
    <w:rsid w:val="007C1A33"/>
    <w:rsid w:val="007C3E66"/>
    <w:rsid w:val="007D1AE4"/>
    <w:rsid w:val="007E059D"/>
    <w:rsid w:val="007E3174"/>
    <w:rsid w:val="007E46C5"/>
    <w:rsid w:val="007F01C5"/>
    <w:rsid w:val="007F12FB"/>
    <w:rsid w:val="007F3126"/>
    <w:rsid w:val="007F4DAE"/>
    <w:rsid w:val="00803A89"/>
    <w:rsid w:val="00803BEB"/>
    <w:rsid w:val="00804F59"/>
    <w:rsid w:val="00807CAC"/>
    <w:rsid w:val="00816932"/>
    <w:rsid w:val="00817A34"/>
    <w:rsid w:val="00817AEE"/>
    <w:rsid w:val="00824298"/>
    <w:rsid w:val="008255BD"/>
    <w:rsid w:val="0082581B"/>
    <w:rsid w:val="00830BA7"/>
    <w:rsid w:val="00832859"/>
    <w:rsid w:val="00832940"/>
    <w:rsid w:val="00832953"/>
    <w:rsid w:val="008345E8"/>
    <w:rsid w:val="0083744E"/>
    <w:rsid w:val="0084310A"/>
    <w:rsid w:val="008507C6"/>
    <w:rsid w:val="008655BF"/>
    <w:rsid w:val="008711A0"/>
    <w:rsid w:val="008713F1"/>
    <w:rsid w:val="00873731"/>
    <w:rsid w:val="00877AFF"/>
    <w:rsid w:val="00883408"/>
    <w:rsid w:val="00884462"/>
    <w:rsid w:val="00885AD2"/>
    <w:rsid w:val="008903AA"/>
    <w:rsid w:val="00891196"/>
    <w:rsid w:val="008A0F5D"/>
    <w:rsid w:val="008A2B86"/>
    <w:rsid w:val="008A404E"/>
    <w:rsid w:val="008B1BCE"/>
    <w:rsid w:val="008C11CB"/>
    <w:rsid w:val="008C213C"/>
    <w:rsid w:val="008C242F"/>
    <w:rsid w:val="008C3224"/>
    <w:rsid w:val="008D2D8D"/>
    <w:rsid w:val="008E3DAC"/>
    <w:rsid w:val="008E714C"/>
    <w:rsid w:val="008E7B6C"/>
    <w:rsid w:val="008F2668"/>
    <w:rsid w:val="008F5008"/>
    <w:rsid w:val="008F600A"/>
    <w:rsid w:val="008F7AC5"/>
    <w:rsid w:val="00906759"/>
    <w:rsid w:val="00911D45"/>
    <w:rsid w:val="00915F3A"/>
    <w:rsid w:val="0091631F"/>
    <w:rsid w:val="00925FFF"/>
    <w:rsid w:val="00926BBE"/>
    <w:rsid w:val="00934086"/>
    <w:rsid w:val="00937022"/>
    <w:rsid w:val="0094306F"/>
    <w:rsid w:val="00946ECF"/>
    <w:rsid w:val="009540D4"/>
    <w:rsid w:val="00954753"/>
    <w:rsid w:val="00954775"/>
    <w:rsid w:val="00954B6B"/>
    <w:rsid w:val="00960F98"/>
    <w:rsid w:val="009615BD"/>
    <w:rsid w:val="00962369"/>
    <w:rsid w:val="00971400"/>
    <w:rsid w:val="00977527"/>
    <w:rsid w:val="00981881"/>
    <w:rsid w:val="00982ABB"/>
    <w:rsid w:val="00986BA8"/>
    <w:rsid w:val="009871F4"/>
    <w:rsid w:val="00990D4D"/>
    <w:rsid w:val="00993EA3"/>
    <w:rsid w:val="00995802"/>
    <w:rsid w:val="009A2E1C"/>
    <w:rsid w:val="009A5BFF"/>
    <w:rsid w:val="009A62FF"/>
    <w:rsid w:val="009A6E04"/>
    <w:rsid w:val="009A795B"/>
    <w:rsid w:val="009A7B00"/>
    <w:rsid w:val="009C2DE6"/>
    <w:rsid w:val="009C33BD"/>
    <w:rsid w:val="009C3403"/>
    <w:rsid w:val="009C6AA8"/>
    <w:rsid w:val="009E0B3B"/>
    <w:rsid w:val="009E2A90"/>
    <w:rsid w:val="009E403D"/>
    <w:rsid w:val="009F043D"/>
    <w:rsid w:val="00A04F6C"/>
    <w:rsid w:val="00A06B36"/>
    <w:rsid w:val="00A10065"/>
    <w:rsid w:val="00A13397"/>
    <w:rsid w:val="00A14240"/>
    <w:rsid w:val="00A21EEF"/>
    <w:rsid w:val="00A236B9"/>
    <w:rsid w:val="00A266B8"/>
    <w:rsid w:val="00A27DAB"/>
    <w:rsid w:val="00A325F3"/>
    <w:rsid w:val="00A33F23"/>
    <w:rsid w:val="00A356A7"/>
    <w:rsid w:val="00A446FD"/>
    <w:rsid w:val="00A45CA1"/>
    <w:rsid w:val="00A470B2"/>
    <w:rsid w:val="00A47878"/>
    <w:rsid w:val="00A47E97"/>
    <w:rsid w:val="00A50F65"/>
    <w:rsid w:val="00A51B00"/>
    <w:rsid w:val="00A5605D"/>
    <w:rsid w:val="00A56545"/>
    <w:rsid w:val="00A60BE1"/>
    <w:rsid w:val="00A611D6"/>
    <w:rsid w:val="00A61E34"/>
    <w:rsid w:val="00A638B8"/>
    <w:rsid w:val="00A651C3"/>
    <w:rsid w:val="00A65986"/>
    <w:rsid w:val="00A67AC8"/>
    <w:rsid w:val="00A738F2"/>
    <w:rsid w:val="00A80118"/>
    <w:rsid w:val="00A80BAC"/>
    <w:rsid w:val="00A8174B"/>
    <w:rsid w:val="00A8642E"/>
    <w:rsid w:val="00A9164B"/>
    <w:rsid w:val="00A96E62"/>
    <w:rsid w:val="00AA0072"/>
    <w:rsid w:val="00AA56D6"/>
    <w:rsid w:val="00AB08C0"/>
    <w:rsid w:val="00AB2605"/>
    <w:rsid w:val="00AB3E58"/>
    <w:rsid w:val="00AB5923"/>
    <w:rsid w:val="00AC124D"/>
    <w:rsid w:val="00AC337E"/>
    <w:rsid w:val="00AD1047"/>
    <w:rsid w:val="00AD1437"/>
    <w:rsid w:val="00AD6F15"/>
    <w:rsid w:val="00AD7D67"/>
    <w:rsid w:val="00AE4ACA"/>
    <w:rsid w:val="00AE69D7"/>
    <w:rsid w:val="00AF4874"/>
    <w:rsid w:val="00AF67E3"/>
    <w:rsid w:val="00AF695C"/>
    <w:rsid w:val="00B00407"/>
    <w:rsid w:val="00B00EC0"/>
    <w:rsid w:val="00B06389"/>
    <w:rsid w:val="00B06DB7"/>
    <w:rsid w:val="00B07A65"/>
    <w:rsid w:val="00B11711"/>
    <w:rsid w:val="00B12312"/>
    <w:rsid w:val="00B15D30"/>
    <w:rsid w:val="00B2330D"/>
    <w:rsid w:val="00B235CC"/>
    <w:rsid w:val="00B23A11"/>
    <w:rsid w:val="00B25D8C"/>
    <w:rsid w:val="00B3070C"/>
    <w:rsid w:val="00B3260A"/>
    <w:rsid w:val="00B33E97"/>
    <w:rsid w:val="00B40675"/>
    <w:rsid w:val="00B41423"/>
    <w:rsid w:val="00B454A5"/>
    <w:rsid w:val="00B457D2"/>
    <w:rsid w:val="00B45BB8"/>
    <w:rsid w:val="00B55679"/>
    <w:rsid w:val="00B56066"/>
    <w:rsid w:val="00B579E2"/>
    <w:rsid w:val="00B61DE5"/>
    <w:rsid w:val="00B634FA"/>
    <w:rsid w:val="00B66316"/>
    <w:rsid w:val="00B8223C"/>
    <w:rsid w:val="00B8407D"/>
    <w:rsid w:val="00BA65E4"/>
    <w:rsid w:val="00BB08AD"/>
    <w:rsid w:val="00BB11EB"/>
    <w:rsid w:val="00BC15DF"/>
    <w:rsid w:val="00BD243D"/>
    <w:rsid w:val="00BD61AE"/>
    <w:rsid w:val="00BE7014"/>
    <w:rsid w:val="00BF0C8D"/>
    <w:rsid w:val="00BF55AB"/>
    <w:rsid w:val="00C0261F"/>
    <w:rsid w:val="00C07B43"/>
    <w:rsid w:val="00C1373E"/>
    <w:rsid w:val="00C17996"/>
    <w:rsid w:val="00C307A0"/>
    <w:rsid w:val="00C35403"/>
    <w:rsid w:val="00C360AE"/>
    <w:rsid w:val="00C563A1"/>
    <w:rsid w:val="00C56DB5"/>
    <w:rsid w:val="00C601BE"/>
    <w:rsid w:val="00C60CF7"/>
    <w:rsid w:val="00C62458"/>
    <w:rsid w:val="00C6555B"/>
    <w:rsid w:val="00C67213"/>
    <w:rsid w:val="00C76C28"/>
    <w:rsid w:val="00C8054C"/>
    <w:rsid w:val="00C82883"/>
    <w:rsid w:val="00C9149B"/>
    <w:rsid w:val="00C920AB"/>
    <w:rsid w:val="00C97F17"/>
    <w:rsid w:val="00CA116F"/>
    <w:rsid w:val="00CA65BF"/>
    <w:rsid w:val="00CB38E0"/>
    <w:rsid w:val="00CB560E"/>
    <w:rsid w:val="00CC2A59"/>
    <w:rsid w:val="00CC3F4E"/>
    <w:rsid w:val="00CC57D3"/>
    <w:rsid w:val="00CC7E83"/>
    <w:rsid w:val="00CD02AD"/>
    <w:rsid w:val="00CE0481"/>
    <w:rsid w:val="00CE328E"/>
    <w:rsid w:val="00CF11B9"/>
    <w:rsid w:val="00CF4BDC"/>
    <w:rsid w:val="00CF4F5B"/>
    <w:rsid w:val="00CF57C6"/>
    <w:rsid w:val="00D05325"/>
    <w:rsid w:val="00D07628"/>
    <w:rsid w:val="00D10446"/>
    <w:rsid w:val="00D111EB"/>
    <w:rsid w:val="00D11A65"/>
    <w:rsid w:val="00D22094"/>
    <w:rsid w:val="00D231B9"/>
    <w:rsid w:val="00D24CF8"/>
    <w:rsid w:val="00D25495"/>
    <w:rsid w:val="00D32169"/>
    <w:rsid w:val="00D32962"/>
    <w:rsid w:val="00D37BB1"/>
    <w:rsid w:val="00D431BA"/>
    <w:rsid w:val="00D44623"/>
    <w:rsid w:val="00D452D9"/>
    <w:rsid w:val="00D506F2"/>
    <w:rsid w:val="00D52311"/>
    <w:rsid w:val="00D53133"/>
    <w:rsid w:val="00D60C67"/>
    <w:rsid w:val="00D61E08"/>
    <w:rsid w:val="00D70390"/>
    <w:rsid w:val="00D71918"/>
    <w:rsid w:val="00D76B14"/>
    <w:rsid w:val="00D92C02"/>
    <w:rsid w:val="00D95C01"/>
    <w:rsid w:val="00D97A5E"/>
    <w:rsid w:val="00DA1146"/>
    <w:rsid w:val="00DB0FAD"/>
    <w:rsid w:val="00DB18BF"/>
    <w:rsid w:val="00DB22DF"/>
    <w:rsid w:val="00DB466B"/>
    <w:rsid w:val="00DC380E"/>
    <w:rsid w:val="00DC628F"/>
    <w:rsid w:val="00DE04F9"/>
    <w:rsid w:val="00DE2653"/>
    <w:rsid w:val="00DE3073"/>
    <w:rsid w:val="00DE5A37"/>
    <w:rsid w:val="00DF0EDA"/>
    <w:rsid w:val="00DF3AC2"/>
    <w:rsid w:val="00E041A2"/>
    <w:rsid w:val="00E041A5"/>
    <w:rsid w:val="00E13D6A"/>
    <w:rsid w:val="00E15271"/>
    <w:rsid w:val="00E20FA3"/>
    <w:rsid w:val="00E22AAB"/>
    <w:rsid w:val="00E23CEE"/>
    <w:rsid w:val="00E3099C"/>
    <w:rsid w:val="00E33433"/>
    <w:rsid w:val="00E446DE"/>
    <w:rsid w:val="00E45CE9"/>
    <w:rsid w:val="00E54A13"/>
    <w:rsid w:val="00E54D06"/>
    <w:rsid w:val="00E5646A"/>
    <w:rsid w:val="00E57A77"/>
    <w:rsid w:val="00E660BB"/>
    <w:rsid w:val="00E73D1E"/>
    <w:rsid w:val="00E778F7"/>
    <w:rsid w:val="00E81A8C"/>
    <w:rsid w:val="00E83A4E"/>
    <w:rsid w:val="00E930D4"/>
    <w:rsid w:val="00E94263"/>
    <w:rsid w:val="00E96FC8"/>
    <w:rsid w:val="00E978F8"/>
    <w:rsid w:val="00EA03ED"/>
    <w:rsid w:val="00EA1CEC"/>
    <w:rsid w:val="00EB34A3"/>
    <w:rsid w:val="00EB3926"/>
    <w:rsid w:val="00EB4305"/>
    <w:rsid w:val="00EB58BE"/>
    <w:rsid w:val="00EB58C6"/>
    <w:rsid w:val="00EC55F2"/>
    <w:rsid w:val="00EC61B0"/>
    <w:rsid w:val="00EC70DC"/>
    <w:rsid w:val="00ED2185"/>
    <w:rsid w:val="00EE315D"/>
    <w:rsid w:val="00EE7883"/>
    <w:rsid w:val="00EF0EDC"/>
    <w:rsid w:val="00EF346F"/>
    <w:rsid w:val="00EF6A5C"/>
    <w:rsid w:val="00F04986"/>
    <w:rsid w:val="00F12EDC"/>
    <w:rsid w:val="00F13B7B"/>
    <w:rsid w:val="00F17AFA"/>
    <w:rsid w:val="00F2490F"/>
    <w:rsid w:val="00F25B31"/>
    <w:rsid w:val="00F2696F"/>
    <w:rsid w:val="00F27674"/>
    <w:rsid w:val="00F2774F"/>
    <w:rsid w:val="00F328A5"/>
    <w:rsid w:val="00F35F70"/>
    <w:rsid w:val="00F37347"/>
    <w:rsid w:val="00F42A71"/>
    <w:rsid w:val="00F43C06"/>
    <w:rsid w:val="00F44F94"/>
    <w:rsid w:val="00F45CFA"/>
    <w:rsid w:val="00F56559"/>
    <w:rsid w:val="00F56CAF"/>
    <w:rsid w:val="00F630C6"/>
    <w:rsid w:val="00F80D25"/>
    <w:rsid w:val="00F81DD7"/>
    <w:rsid w:val="00F822E8"/>
    <w:rsid w:val="00F82558"/>
    <w:rsid w:val="00F82E8E"/>
    <w:rsid w:val="00F874AB"/>
    <w:rsid w:val="00F91D6A"/>
    <w:rsid w:val="00F920D0"/>
    <w:rsid w:val="00F938ED"/>
    <w:rsid w:val="00F96973"/>
    <w:rsid w:val="00FA0125"/>
    <w:rsid w:val="00FA2E1C"/>
    <w:rsid w:val="00FA7FD4"/>
    <w:rsid w:val="00FB13D7"/>
    <w:rsid w:val="00FB3D6B"/>
    <w:rsid w:val="00FB4ABD"/>
    <w:rsid w:val="00FC1469"/>
    <w:rsid w:val="00FC38E8"/>
    <w:rsid w:val="00FC3DAA"/>
    <w:rsid w:val="00FC73AC"/>
    <w:rsid w:val="00FD434D"/>
    <w:rsid w:val="00FD6886"/>
    <w:rsid w:val="00FE65F4"/>
    <w:rsid w:val="00FE72B2"/>
    <w:rsid w:val="00FF0F62"/>
    <w:rsid w:val="00FF309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ocktick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ody Text 3"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BCC"/>
    <w:rPr>
      <w:rFonts w:eastAsia="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uiPriority w:val="99"/>
    <w:rsid w:val="00416BCC"/>
    <w:pPr>
      <w:tabs>
        <w:tab w:val="left" w:pos="3140"/>
      </w:tabs>
      <w:spacing w:before="240" w:line="480" w:lineRule="auto"/>
      <w:ind w:right="-720" w:firstLine="720"/>
    </w:pPr>
    <w:rPr>
      <w:lang w:eastAsia="zh-CN"/>
    </w:rPr>
  </w:style>
  <w:style w:type="paragraph" w:styleId="BodyText">
    <w:name w:val="Body Text"/>
    <w:basedOn w:val="Normal"/>
    <w:link w:val="BodyTextChar"/>
    <w:uiPriority w:val="99"/>
    <w:rsid w:val="00816932"/>
    <w:pPr>
      <w:spacing w:line="360" w:lineRule="atLeast"/>
    </w:pPr>
    <w:rPr>
      <w:rFonts w:ascii="AGaramond" w:hAnsi="AGaramond" w:cs="AGaramond"/>
      <w:sz w:val="22"/>
      <w:szCs w:val="22"/>
      <w:lang w:eastAsia="zh-CN"/>
    </w:rPr>
  </w:style>
  <w:style w:type="character" w:customStyle="1" w:styleId="BodyTextChar">
    <w:name w:val="Body Text Char"/>
    <w:basedOn w:val="DefaultParagraphFont"/>
    <w:link w:val="BodyText"/>
    <w:uiPriority w:val="99"/>
    <w:locked/>
    <w:rsid w:val="00816932"/>
    <w:rPr>
      <w:rFonts w:ascii="AGaramond" w:hAnsi="AGaramond" w:cs="AGaramond"/>
      <w:sz w:val="20"/>
      <w:szCs w:val="20"/>
      <w:lang w:eastAsia="zh-CN"/>
    </w:rPr>
  </w:style>
  <w:style w:type="paragraph" w:styleId="BodyText3">
    <w:name w:val="Body Text 3"/>
    <w:basedOn w:val="Normal"/>
    <w:link w:val="BodyText3Char"/>
    <w:uiPriority w:val="99"/>
    <w:rsid w:val="00816932"/>
    <w:pPr>
      <w:spacing w:after="120"/>
    </w:pPr>
    <w:rPr>
      <w:sz w:val="16"/>
      <w:szCs w:val="16"/>
    </w:rPr>
  </w:style>
  <w:style w:type="character" w:customStyle="1" w:styleId="BodyText3Char">
    <w:name w:val="Body Text 3 Char"/>
    <w:basedOn w:val="DefaultParagraphFont"/>
    <w:link w:val="BodyText3"/>
    <w:uiPriority w:val="99"/>
    <w:locked/>
    <w:rsid w:val="00816932"/>
    <w:rPr>
      <w:rFonts w:eastAsia="Times New Roman" w:cs="Times New Roman"/>
      <w:sz w:val="16"/>
      <w:szCs w:val="16"/>
    </w:rPr>
  </w:style>
  <w:style w:type="paragraph" w:styleId="Header">
    <w:name w:val="header"/>
    <w:basedOn w:val="Normal"/>
    <w:link w:val="HeaderChar"/>
    <w:uiPriority w:val="99"/>
    <w:semiHidden/>
    <w:rsid w:val="00CC7E83"/>
    <w:pPr>
      <w:tabs>
        <w:tab w:val="center" w:pos="4680"/>
        <w:tab w:val="right" w:pos="9360"/>
      </w:tabs>
    </w:pPr>
  </w:style>
  <w:style w:type="character" w:customStyle="1" w:styleId="HeaderChar">
    <w:name w:val="Header Char"/>
    <w:basedOn w:val="DefaultParagraphFont"/>
    <w:link w:val="Header"/>
    <w:uiPriority w:val="99"/>
    <w:semiHidden/>
    <w:locked/>
    <w:rsid w:val="00CC7E83"/>
    <w:rPr>
      <w:rFonts w:eastAsia="Times New Roman" w:cs="Times New Roman"/>
      <w:sz w:val="24"/>
      <w:szCs w:val="24"/>
    </w:rPr>
  </w:style>
  <w:style w:type="paragraph" w:styleId="Footer">
    <w:name w:val="footer"/>
    <w:basedOn w:val="Normal"/>
    <w:link w:val="FooterChar"/>
    <w:uiPriority w:val="99"/>
    <w:rsid w:val="00CC7E83"/>
    <w:pPr>
      <w:tabs>
        <w:tab w:val="center" w:pos="4680"/>
        <w:tab w:val="right" w:pos="9360"/>
      </w:tabs>
    </w:pPr>
  </w:style>
  <w:style w:type="character" w:customStyle="1" w:styleId="FooterChar">
    <w:name w:val="Footer Char"/>
    <w:basedOn w:val="DefaultParagraphFont"/>
    <w:link w:val="Footer"/>
    <w:uiPriority w:val="99"/>
    <w:locked/>
    <w:rsid w:val="00CC7E83"/>
    <w:rPr>
      <w:rFonts w:eastAsia="Times New Roman" w:cs="Times New Roman"/>
      <w:sz w:val="24"/>
      <w:szCs w:val="24"/>
    </w:rPr>
  </w:style>
  <w:style w:type="paragraph" w:styleId="NoSpacing">
    <w:name w:val="No Spacing"/>
    <w:uiPriority w:val="99"/>
    <w:qFormat/>
    <w:rsid w:val="007C1A33"/>
    <w:rPr>
      <w:rFonts w:eastAsia="Times New Roman"/>
      <w:sz w:val="24"/>
      <w:szCs w:val="24"/>
    </w:rPr>
  </w:style>
  <w:style w:type="paragraph" w:styleId="ListParagraph">
    <w:name w:val="List Paragraph"/>
    <w:basedOn w:val="Normal"/>
    <w:uiPriority w:val="34"/>
    <w:qFormat/>
    <w:rsid w:val="00A236B9"/>
    <w:pPr>
      <w:ind w:left="720"/>
      <w:contextualSpacing/>
    </w:pPr>
  </w:style>
  <w:style w:type="paragraph" w:styleId="BalloonText">
    <w:name w:val="Balloon Text"/>
    <w:basedOn w:val="Normal"/>
    <w:link w:val="BalloonTextChar"/>
    <w:uiPriority w:val="99"/>
    <w:semiHidden/>
    <w:unhideWhenUsed/>
    <w:rsid w:val="00954775"/>
    <w:rPr>
      <w:rFonts w:ascii="Tahoma" w:hAnsi="Tahoma" w:cs="Tahoma"/>
      <w:sz w:val="16"/>
      <w:szCs w:val="16"/>
    </w:rPr>
  </w:style>
  <w:style w:type="character" w:customStyle="1" w:styleId="BalloonTextChar">
    <w:name w:val="Balloon Text Char"/>
    <w:basedOn w:val="DefaultParagraphFont"/>
    <w:link w:val="BalloonText"/>
    <w:uiPriority w:val="99"/>
    <w:semiHidden/>
    <w:rsid w:val="00954775"/>
    <w:rPr>
      <w:rFonts w:ascii="Tahoma" w:eastAsia="Times New Roman" w:hAnsi="Tahoma" w:cs="Tahoma"/>
      <w:sz w:val="16"/>
      <w:szCs w:val="16"/>
    </w:rPr>
  </w:style>
  <w:style w:type="character" w:customStyle="1" w:styleId="text21">
    <w:name w:val="text21"/>
    <w:basedOn w:val="DefaultParagraphFont"/>
    <w:rsid w:val="00232396"/>
    <w:rPr>
      <w:rFonts w:ascii="Verdana" w:hAnsi="Verdana" w:hint="default"/>
      <w:sz w:val="15"/>
      <w:szCs w:val="15"/>
    </w:rPr>
  </w:style>
  <w:style w:type="paragraph" w:styleId="NormalWeb">
    <w:name w:val="Normal (Web)"/>
    <w:basedOn w:val="Normal"/>
    <w:uiPriority w:val="99"/>
    <w:semiHidden/>
    <w:unhideWhenUsed/>
    <w:rsid w:val="002C0BF6"/>
    <w:pPr>
      <w:spacing w:before="100" w:beforeAutospacing="1" w:after="100" w:afterAutospacing="1"/>
    </w:pPr>
  </w:style>
  <w:style w:type="paragraph" w:styleId="Title">
    <w:name w:val="Title"/>
    <w:basedOn w:val="Normal"/>
    <w:next w:val="Normal"/>
    <w:link w:val="TitleChar"/>
    <w:qFormat/>
    <w:locked/>
    <w:rsid w:val="006E2D3F"/>
    <w:pPr>
      <w:suppressAutoHyphens/>
      <w:jc w:val="center"/>
    </w:pPr>
    <w:rPr>
      <w:b/>
      <w:sz w:val="36"/>
      <w:szCs w:val="20"/>
      <w:lang w:eastAsia="ar-SA"/>
    </w:rPr>
  </w:style>
  <w:style w:type="character" w:customStyle="1" w:styleId="TitleChar">
    <w:name w:val="Title Char"/>
    <w:basedOn w:val="DefaultParagraphFont"/>
    <w:link w:val="Title"/>
    <w:rsid w:val="006E2D3F"/>
    <w:rPr>
      <w:rFonts w:eastAsia="Times New Roman"/>
      <w:b/>
      <w:sz w:val="36"/>
      <w:lang w:eastAsia="ar-SA"/>
    </w:rPr>
  </w:style>
  <w:style w:type="paragraph" w:styleId="Subtitle">
    <w:name w:val="Subtitle"/>
    <w:basedOn w:val="Normal"/>
    <w:next w:val="Normal"/>
    <w:link w:val="SubtitleChar"/>
    <w:qFormat/>
    <w:locked/>
    <w:rsid w:val="006E2D3F"/>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6E2D3F"/>
    <w:rPr>
      <w:rFonts w:asciiTheme="majorHAnsi" w:eastAsiaTheme="majorEastAsia" w:hAnsiTheme="majorHAnsi" w:cstheme="majorBidi"/>
      <w:i/>
      <w:iCs/>
      <w:color w:val="4F81BD" w:themeColor="accent1"/>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ody Text 3"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6BCC"/>
    <w:rPr>
      <w:rFonts w:eastAsia="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uiPriority w:val="99"/>
    <w:rsid w:val="00416BCC"/>
    <w:pPr>
      <w:tabs>
        <w:tab w:val="left" w:pos="3140"/>
      </w:tabs>
      <w:spacing w:before="240" w:line="480" w:lineRule="auto"/>
      <w:ind w:right="-720" w:firstLine="720"/>
    </w:pPr>
    <w:rPr>
      <w:lang w:eastAsia="zh-CN"/>
    </w:rPr>
  </w:style>
  <w:style w:type="paragraph" w:styleId="BodyText">
    <w:name w:val="Body Text"/>
    <w:basedOn w:val="Normal"/>
    <w:link w:val="BodyTextChar"/>
    <w:uiPriority w:val="99"/>
    <w:rsid w:val="00816932"/>
    <w:pPr>
      <w:spacing w:line="360" w:lineRule="atLeast"/>
    </w:pPr>
    <w:rPr>
      <w:rFonts w:ascii="AGaramond" w:hAnsi="AGaramond" w:cs="AGaramond"/>
      <w:sz w:val="22"/>
      <w:szCs w:val="22"/>
      <w:lang w:eastAsia="zh-CN"/>
    </w:rPr>
  </w:style>
  <w:style w:type="character" w:customStyle="1" w:styleId="BodyTextChar">
    <w:name w:val="Body Text Char"/>
    <w:basedOn w:val="DefaultParagraphFont"/>
    <w:link w:val="BodyText"/>
    <w:uiPriority w:val="99"/>
    <w:locked/>
    <w:rsid w:val="00816932"/>
    <w:rPr>
      <w:rFonts w:ascii="AGaramond" w:hAnsi="AGaramond" w:cs="AGaramond"/>
      <w:sz w:val="20"/>
      <w:szCs w:val="20"/>
      <w:lang w:eastAsia="zh-CN"/>
    </w:rPr>
  </w:style>
  <w:style w:type="paragraph" w:styleId="BodyText3">
    <w:name w:val="Body Text 3"/>
    <w:basedOn w:val="Normal"/>
    <w:link w:val="BodyText3Char"/>
    <w:uiPriority w:val="99"/>
    <w:rsid w:val="00816932"/>
    <w:pPr>
      <w:spacing w:after="120"/>
    </w:pPr>
    <w:rPr>
      <w:sz w:val="16"/>
      <w:szCs w:val="16"/>
    </w:rPr>
  </w:style>
  <w:style w:type="character" w:customStyle="1" w:styleId="BodyText3Char">
    <w:name w:val="Body Text 3 Char"/>
    <w:basedOn w:val="DefaultParagraphFont"/>
    <w:link w:val="BodyText3"/>
    <w:uiPriority w:val="99"/>
    <w:locked/>
    <w:rsid w:val="00816932"/>
    <w:rPr>
      <w:rFonts w:eastAsia="Times New Roman" w:cs="Times New Roman"/>
      <w:sz w:val="16"/>
      <w:szCs w:val="16"/>
    </w:rPr>
  </w:style>
  <w:style w:type="paragraph" w:styleId="Header">
    <w:name w:val="header"/>
    <w:basedOn w:val="Normal"/>
    <w:link w:val="HeaderChar"/>
    <w:uiPriority w:val="99"/>
    <w:semiHidden/>
    <w:rsid w:val="00CC7E83"/>
    <w:pPr>
      <w:tabs>
        <w:tab w:val="center" w:pos="4680"/>
        <w:tab w:val="right" w:pos="9360"/>
      </w:tabs>
    </w:pPr>
  </w:style>
  <w:style w:type="character" w:customStyle="1" w:styleId="HeaderChar">
    <w:name w:val="Header Char"/>
    <w:basedOn w:val="DefaultParagraphFont"/>
    <w:link w:val="Header"/>
    <w:uiPriority w:val="99"/>
    <w:semiHidden/>
    <w:locked/>
    <w:rsid w:val="00CC7E83"/>
    <w:rPr>
      <w:rFonts w:eastAsia="Times New Roman" w:cs="Times New Roman"/>
      <w:sz w:val="24"/>
      <w:szCs w:val="24"/>
    </w:rPr>
  </w:style>
  <w:style w:type="paragraph" w:styleId="Footer">
    <w:name w:val="footer"/>
    <w:basedOn w:val="Normal"/>
    <w:link w:val="FooterChar"/>
    <w:uiPriority w:val="99"/>
    <w:rsid w:val="00CC7E83"/>
    <w:pPr>
      <w:tabs>
        <w:tab w:val="center" w:pos="4680"/>
        <w:tab w:val="right" w:pos="9360"/>
      </w:tabs>
    </w:pPr>
  </w:style>
  <w:style w:type="character" w:customStyle="1" w:styleId="FooterChar">
    <w:name w:val="Footer Char"/>
    <w:basedOn w:val="DefaultParagraphFont"/>
    <w:link w:val="Footer"/>
    <w:uiPriority w:val="99"/>
    <w:locked/>
    <w:rsid w:val="00CC7E83"/>
    <w:rPr>
      <w:rFonts w:eastAsia="Times New Roman" w:cs="Times New Roman"/>
      <w:sz w:val="24"/>
      <w:szCs w:val="24"/>
    </w:rPr>
  </w:style>
  <w:style w:type="paragraph" w:styleId="NoSpacing">
    <w:name w:val="No Spacing"/>
    <w:uiPriority w:val="99"/>
    <w:qFormat/>
    <w:rsid w:val="007C1A33"/>
    <w:rPr>
      <w:rFonts w:eastAsia="Times New Roman"/>
      <w:sz w:val="24"/>
      <w:szCs w:val="24"/>
    </w:rPr>
  </w:style>
  <w:style w:type="paragraph" w:styleId="ListParagraph">
    <w:name w:val="List Paragraph"/>
    <w:basedOn w:val="Normal"/>
    <w:uiPriority w:val="34"/>
    <w:qFormat/>
    <w:rsid w:val="00A236B9"/>
    <w:pPr>
      <w:ind w:left="720"/>
      <w:contextualSpacing/>
    </w:pPr>
  </w:style>
  <w:style w:type="paragraph" w:styleId="BalloonText">
    <w:name w:val="Balloon Text"/>
    <w:basedOn w:val="Normal"/>
    <w:link w:val="BalloonTextChar"/>
    <w:uiPriority w:val="99"/>
    <w:semiHidden/>
    <w:unhideWhenUsed/>
    <w:rsid w:val="00954775"/>
    <w:rPr>
      <w:rFonts w:ascii="Tahoma" w:hAnsi="Tahoma" w:cs="Tahoma"/>
      <w:sz w:val="16"/>
      <w:szCs w:val="16"/>
    </w:rPr>
  </w:style>
  <w:style w:type="character" w:customStyle="1" w:styleId="BalloonTextChar">
    <w:name w:val="Balloon Text Char"/>
    <w:basedOn w:val="DefaultParagraphFont"/>
    <w:link w:val="BalloonText"/>
    <w:uiPriority w:val="99"/>
    <w:semiHidden/>
    <w:rsid w:val="00954775"/>
    <w:rPr>
      <w:rFonts w:ascii="Tahoma" w:eastAsia="Times New Roman" w:hAnsi="Tahoma" w:cs="Tahoma"/>
      <w:sz w:val="16"/>
      <w:szCs w:val="16"/>
    </w:rPr>
  </w:style>
  <w:style w:type="character" w:customStyle="1" w:styleId="text21">
    <w:name w:val="text21"/>
    <w:basedOn w:val="DefaultParagraphFont"/>
    <w:rsid w:val="00232396"/>
    <w:rPr>
      <w:rFonts w:ascii="Verdana" w:hAnsi="Verdana" w:hint="default"/>
      <w:sz w:val="15"/>
      <w:szCs w:val="15"/>
    </w:rPr>
  </w:style>
</w:styles>
</file>

<file path=word/webSettings.xml><?xml version="1.0" encoding="utf-8"?>
<w:webSettings xmlns:r="http://schemas.openxmlformats.org/officeDocument/2006/relationships" xmlns:w="http://schemas.openxmlformats.org/wordprocessingml/2006/main">
  <w:divs>
    <w:div w:id="669524048">
      <w:bodyDiv w:val="1"/>
      <w:marLeft w:val="0"/>
      <w:marRight w:val="0"/>
      <w:marTop w:val="0"/>
      <w:marBottom w:val="0"/>
      <w:divBdr>
        <w:top w:val="none" w:sz="0" w:space="0" w:color="auto"/>
        <w:left w:val="none" w:sz="0" w:space="0" w:color="auto"/>
        <w:bottom w:val="none" w:sz="0" w:space="0" w:color="auto"/>
        <w:right w:val="none" w:sz="0" w:space="0" w:color="auto"/>
      </w:divBdr>
    </w:div>
    <w:div w:id="941837173">
      <w:bodyDiv w:val="1"/>
      <w:marLeft w:val="0"/>
      <w:marRight w:val="0"/>
      <w:marTop w:val="0"/>
      <w:marBottom w:val="0"/>
      <w:divBdr>
        <w:top w:val="none" w:sz="0" w:space="0" w:color="auto"/>
        <w:left w:val="none" w:sz="0" w:space="0" w:color="auto"/>
        <w:bottom w:val="none" w:sz="0" w:space="0" w:color="auto"/>
        <w:right w:val="none" w:sz="0" w:space="0" w:color="auto"/>
      </w:divBdr>
    </w:div>
    <w:div w:id="1963030693">
      <w:bodyDiv w:val="1"/>
      <w:marLeft w:val="0"/>
      <w:marRight w:val="0"/>
      <w:marTop w:val="0"/>
      <w:marBottom w:val="0"/>
      <w:divBdr>
        <w:top w:val="none" w:sz="0" w:space="0" w:color="auto"/>
        <w:left w:val="none" w:sz="0" w:space="0" w:color="auto"/>
        <w:bottom w:val="none" w:sz="0" w:space="0" w:color="auto"/>
        <w:right w:val="none" w:sz="0" w:space="0" w:color="auto"/>
      </w:divBdr>
    </w:div>
    <w:div w:id="2090106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iff"/><Relationship Id="rId2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tiff"/><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40A8C0-A252-4485-8005-B5536B1779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10856</Words>
  <Characters>61880</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EVOLUTIONARY ANALYSES OF CERAMIC VARIATIONS</vt:lpstr>
    </vt:vector>
  </TitlesOfParts>
  <Company/>
  <LinksUpToDate>false</LinksUpToDate>
  <CharactersWithSpaces>72591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EVOLUTIONARY ANALYSES OF CERAMIC VARIATIONS</dc:title>
  <dc:creator>Sarah</dc:creator>
  <cp:lastModifiedBy>Sarah</cp:lastModifiedBy>
  <cp:revision>2</cp:revision>
  <cp:lastPrinted>2010-10-13T22:40:00Z</cp:lastPrinted>
  <dcterms:created xsi:type="dcterms:W3CDTF">2014-02-06T22:25:00Z</dcterms:created>
  <dcterms:modified xsi:type="dcterms:W3CDTF">2014-02-06T22:25:00Z</dcterms:modified>
</cp:coreProperties>
</file>